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20" w:after="120" w:line="240" w:lineRule="auto"/>
        <w:textAlignment w:val="auto"/>
        <w:rPr>
          <w:rFonts w:ascii="Times New Roman" w:hAnsi="Times New Roman"/>
          <w:b/>
          <w:sz w:val="24"/>
          <w:lang w:val="en-US"/>
        </w:rPr>
      </w:pPr>
      <w:r>
        <w:rPr>
          <w:rFonts w:ascii="Times New Roman" w:hAnsi="Times New Roman"/>
          <w:sz w:val="24"/>
          <w:lang w:eastAsia="fr-FR"/>
        </w:rPr>
        <w:drawing>
          <wp:anchor distT="0" distB="0" distL="114300" distR="114300" simplePos="0" relativeHeight="251660288" behindDoc="1" locked="0" layoutInCell="1" allowOverlap="1">
            <wp:simplePos x="0" y="0"/>
            <wp:positionH relativeFrom="column">
              <wp:posOffset>-110490</wp:posOffset>
            </wp:positionH>
            <wp:positionV relativeFrom="paragraph">
              <wp:posOffset>-46990</wp:posOffset>
            </wp:positionV>
            <wp:extent cx="6438900" cy="562610"/>
            <wp:effectExtent l="0" t="0" r="0" b="8890"/>
            <wp:wrapTight wrapText="bothSides">
              <wp:wrapPolygon>
                <wp:start x="0" y="0"/>
                <wp:lineTo x="0" y="21210"/>
                <wp:lineTo x="21536" y="21210"/>
                <wp:lineTo x="21536" y="0"/>
                <wp:lineTo x="0" y="0"/>
              </wp:wrapPolygon>
            </wp:wrapTight>
            <wp:docPr id="3"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23767\Pictures\bannerhsd56jpg.png"/>
                    <pic:cNvPicPr>
                      <a:picLocks noChangeAspect="1" noChangeArrowheads="1"/>
                    </pic:cNvPicPr>
                  </pic:nvPicPr>
                  <pic:blipFill>
                    <a:blip r:embed="rId6" cstate="print"/>
                    <a:srcRect t="10641" b="4082"/>
                    <a:stretch>
                      <a:fillRect/>
                    </a:stretch>
                  </pic:blipFill>
                  <pic:spPr>
                    <a:xfrm>
                      <a:off x="0" y="0"/>
                      <a:ext cx="6438900" cy="562610"/>
                    </a:xfrm>
                    <a:prstGeom prst="rect">
                      <a:avLst/>
                    </a:prstGeom>
                    <a:noFill/>
                    <a:ln w="9525">
                      <a:noFill/>
                      <a:miter lim="800000"/>
                      <a:headEnd/>
                      <a:tailEnd/>
                    </a:ln>
                  </pic:spPr>
                </pic:pic>
              </a:graphicData>
            </a:graphic>
          </wp:anchor>
        </w:drawing>
      </w:r>
      <w:r>
        <w:rPr>
          <w:rFonts w:ascii="Times New Roman" w:hAnsi="Times New Roman"/>
          <w:b/>
          <w:sz w:val="24"/>
          <w:lang w:val="en-US"/>
        </w:rPr>
        <w:t>Article Original</w:t>
      </w:r>
    </w:p>
    <w:p>
      <w:pPr>
        <w:spacing w:after="0" w:line="240" w:lineRule="auto"/>
        <w:jc w:val="center"/>
        <w:rPr>
          <w:rFonts w:ascii="Times New Roman" w:hAnsi="Times New Roman" w:eastAsia="Times New Roman"/>
          <w:b/>
          <w:bCs/>
          <w:color w:val="17365D"/>
          <w:spacing w:val="5"/>
          <w:sz w:val="32"/>
          <w:szCs w:val="72"/>
        </w:rPr>
      </w:pPr>
      <w:r>
        <w:rPr>
          <w:rFonts w:hint="default" w:ascii="Times New Roman" w:hAnsi="Times New Roman" w:eastAsia="Times New Roman"/>
          <w:b/>
          <w:bCs/>
          <w:color w:val="17365D"/>
          <w:spacing w:val="5"/>
          <w:sz w:val="32"/>
          <w:szCs w:val="72"/>
        </w:rPr>
        <w:t xml:space="preserve">Les </w:t>
      </w:r>
      <w:r>
        <w:rPr>
          <w:rFonts w:hint="default" w:ascii="Times New Roman" w:hAnsi="Times New Roman" w:eastAsia="Times New Roman"/>
          <w:b/>
          <w:bCs/>
          <w:color w:val="17365D"/>
          <w:spacing w:val="5"/>
          <w:sz w:val="32"/>
          <w:szCs w:val="72"/>
          <w:lang w:val="fr-FR"/>
        </w:rPr>
        <w:t>C</w:t>
      </w:r>
      <w:r>
        <w:rPr>
          <w:rFonts w:hint="default" w:ascii="Times New Roman" w:hAnsi="Times New Roman" w:eastAsia="Times New Roman"/>
          <w:b/>
          <w:bCs/>
          <w:color w:val="17365D"/>
          <w:spacing w:val="5"/>
          <w:sz w:val="32"/>
          <w:szCs w:val="72"/>
        </w:rPr>
        <w:t xml:space="preserve">aractéristiques </w:t>
      </w:r>
      <w:r>
        <w:rPr>
          <w:rFonts w:hint="default" w:ascii="Times New Roman" w:hAnsi="Times New Roman" w:eastAsia="Times New Roman"/>
          <w:b/>
          <w:bCs/>
          <w:color w:val="17365D"/>
          <w:spacing w:val="5"/>
          <w:sz w:val="32"/>
          <w:szCs w:val="72"/>
          <w:lang w:val="fr-FR"/>
        </w:rPr>
        <w:t>C</w:t>
      </w:r>
      <w:r>
        <w:rPr>
          <w:rFonts w:hint="default" w:ascii="Times New Roman" w:hAnsi="Times New Roman" w:eastAsia="Times New Roman"/>
          <w:b/>
          <w:bCs/>
          <w:color w:val="17365D"/>
          <w:spacing w:val="5"/>
          <w:sz w:val="32"/>
          <w:szCs w:val="72"/>
        </w:rPr>
        <w:t xml:space="preserve">liniques et </w:t>
      </w:r>
      <w:r>
        <w:rPr>
          <w:rFonts w:hint="default" w:ascii="Times New Roman" w:hAnsi="Times New Roman" w:eastAsia="Times New Roman"/>
          <w:b/>
          <w:bCs/>
          <w:color w:val="17365D"/>
          <w:spacing w:val="5"/>
          <w:sz w:val="32"/>
          <w:szCs w:val="72"/>
          <w:lang w:val="fr-FR"/>
        </w:rPr>
        <w:t>Étiologiques</w:t>
      </w:r>
      <w:r>
        <w:rPr>
          <w:rFonts w:hint="default" w:ascii="Times New Roman" w:hAnsi="Times New Roman" w:eastAsia="Times New Roman"/>
          <w:b/>
          <w:bCs/>
          <w:color w:val="17365D"/>
          <w:spacing w:val="5"/>
          <w:sz w:val="32"/>
          <w:szCs w:val="72"/>
        </w:rPr>
        <w:t xml:space="preserve"> de l’</w:t>
      </w:r>
      <w:r>
        <w:rPr>
          <w:rFonts w:hint="default" w:ascii="Times New Roman" w:hAnsi="Times New Roman" w:eastAsia="Times New Roman"/>
          <w:b/>
          <w:bCs/>
          <w:color w:val="17365D"/>
          <w:spacing w:val="5"/>
          <w:sz w:val="32"/>
          <w:szCs w:val="72"/>
          <w:lang w:val="fr-FR"/>
        </w:rPr>
        <w:t>E</w:t>
      </w:r>
      <w:r>
        <w:rPr>
          <w:rFonts w:hint="default" w:ascii="Times New Roman" w:hAnsi="Times New Roman" w:eastAsia="Times New Roman"/>
          <w:b/>
          <w:bCs/>
          <w:color w:val="17365D"/>
          <w:spacing w:val="5"/>
          <w:sz w:val="32"/>
          <w:szCs w:val="72"/>
        </w:rPr>
        <w:t>ndophtalmie à l’Hôpital d’Instruction, d’Application et de Référence des Armées de Yaoundé</w:t>
      </w:r>
    </w:p>
    <w:p>
      <w:pPr>
        <w:spacing w:line="240" w:lineRule="auto"/>
        <w:jc w:val="center"/>
        <w:rPr>
          <w:rFonts w:hint="default" w:ascii="Times New Roman" w:hAnsi="Times New Roman" w:eastAsia="Times New Roman"/>
          <w:b/>
          <w:bCs/>
          <w:i/>
          <w:iCs/>
          <w:color w:val="4F81BD"/>
          <w:spacing w:val="15"/>
          <w:lang w:val="en-US" w:bidi="en-US"/>
        </w:rPr>
      </w:pPr>
      <w:r>
        <w:rPr>
          <w:rFonts w:hint="default" w:ascii="Times New Roman" w:hAnsi="Times New Roman" w:eastAsia="Times New Roman"/>
          <w:b/>
          <w:bCs/>
          <w:i/>
          <w:iCs/>
          <w:color w:val="4F81BD"/>
          <w:spacing w:val="15"/>
          <w:lang w:val="en-US" w:bidi="en-US"/>
        </w:rPr>
        <w:t>The clinical and etiological characteristics of endophthalmitis at the Instruction,</w:t>
      </w:r>
      <w:r>
        <w:rPr>
          <w:rFonts w:hint="default" w:ascii="Times New Roman" w:hAnsi="Times New Roman" w:eastAsia="Times New Roman"/>
          <w:b/>
          <w:bCs/>
          <w:i/>
          <w:iCs/>
          <w:color w:val="4F81BD"/>
          <w:spacing w:val="15"/>
          <w:lang w:val="fr-FR" w:bidi="en-US"/>
        </w:rPr>
        <w:t xml:space="preserve"> </w:t>
      </w:r>
      <w:r>
        <w:rPr>
          <w:rFonts w:hint="default" w:ascii="Times New Roman" w:hAnsi="Times New Roman" w:eastAsia="Times New Roman"/>
          <w:b/>
          <w:bCs/>
          <w:i/>
          <w:iCs/>
          <w:color w:val="4F81BD"/>
          <w:spacing w:val="15"/>
          <w:lang w:val="en-US" w:bidi="en-US"/>
        </w:rPr>
        <w:t>Application and Reference Hospital of the Armed Forces of Yaoundé</w:t>
      </w:r>
    </w:p>
    <w:p>
      <w:pPr>
        <w:spacing w:after="0" w:line="240" w:lineRule="auto"/>
        <w:jc w:val="center"/>
        <w:rPr>
          <w:rFonts w:ascii="Times New Roman" w:hAnsi="Times New Roman"/>
          <w:sz w:val="24"/>
          <w:szCs w:val="20"/>
        </w:rPr>
      </w:pPr>
      <w:r>
        <w:rPr>
          <w:rFonts w:hint="default" w:ascii="Times New Roman" w:hAnsi="Times New Roman"/>
          <w:sz w:val="24"/>
          <w:szCs w:val="20"/>
        </w:rPr>
        <w:t>Koki G</w:t>
      </w:r>
      <w:r>
        <w:rPr>
          <w:rFonts w:hint="default" w:ascii="Times New Roman" w:hAnsi="Times New Roman"/>
          <w:sz w:val="24"/>
          <w:szCs w:val="20"/>
          <w:vertAlign w:val="superscript"/>
        </w:rPr>
        <w:t>1, 2</w:t>
      </w:r>
      <w:r>
        <w:rPr>
          <w:rFonts w:hint="default" w:ascii="Times New Roman" w:hAnsi="Times New Roman"/>
          <w:sz w:val="24"/>
          <w:szCs w:val="20"/>
        </w:rPr>
        <w:t>, Nomo AF</w:t>
      </w:r>
      <w:r>
        <w:rPr>
          <w:rFonts w:hint="default" w:ascii="Times New Roman" w:hAnsi="Times New Roman"/>
          <w:sz w:val="24"/>
          <w:szCs w:val="20"/>
          <w:vertAlign w:val="superscript"/>
        </w:rPr>
        <w:t>1</w:t>
      </w:r>
      <w:r>
        <w:rPr>
          <w:rFonts w:hint="default" w:ascii="Times New Roman" w:hAnsi="Times New Roman"/>
          <w:sz w:val="24"/>
          <w:szCs w:val="20"/>
        </w:rPr>
        <w:t>, Bilong Y</w:t>
      </w:r>
      <w:r>
        <w:rPr>
          <w:rFonts w:hint="default" w:ascii="Times New Roman" w:hAnsi="Times New Roman"/>
          <w:sz w:val="24"/>
          <w:szCs w:val="20"/>
          <w:vertAlign w:val="superscript"/>
        </w:rPr>
        <w:t>1</w:t>
      </w:r>
      <w:r>
        <w:rPr>
          <w:rFonts w:hint="default" w:ascii="Times New Roman" w:hAnsi="Times New Roman"/>
          <w:sz w:val="24"/>
          <w:szCs w:val="20"/>
        </w:rPr>
        <w:t>, Aboubakar H</w:t>
      </w:r>
      <w:r>
        <w:rPr>
          <w:rFonts w:hint="default" w:ascii="Times New Roman" w:hAnsi="Times New Roman"/>
          <w:sz w:val="24"/>
          <w:szCs w:val="20"/>
          <w:vertAlign w:val="superscript"/>
        </w:rPr>
        <w:t>1, 2</w:t>
      </w:r>
      <w:r>
        <w:rPr>
          <w:rFonts w:hint="default" w:ascii="Times New Roman" w:hAnsi="Times New Roman"/>
          <w:sz w:val="24"/>
          <w:szCs w:val="20"/>
        </w:rPr>
        <w:t>, Biangoup Nyamsi P</w:t>
      </w:r>
      <w:r>
        <w:rPr>
          <w:rFonts w:hint="default" w:ascii="Times New Roman" w:hAnsi="Times New Roman"/>
          <w:sz w:val="24"/>
          <w:szCs w:val="20"/>
          <w:vertAlign w:val="superscript"/>
        </w:rPr>
        <w:t>1, 2</w:t>
      </w:r>
      <w:r>
        <w:rPr>
          <w:rFonts w:hint="default" w:ascii="Times New Roman" w:hAnsi="Times New Roman"/>
          <w:sz w:val="24"/>
          <w:szCs w:val="20"/>
        </w:rPr>
        <w:t>, Ndongo JA</w:t>
      </w:r>
      <w:r>
        <w:rPr>
          <w:rFonts w:hint="default" w:ascii="Times New Roman" w:hAnsi="Times New Roman"/>
          <w:sz w:val="24"/>
          <w:szCs w:val="20"/>
          <w:vertAlign w:val="superscript"/>
        </w:rPr>
        <w:t>1</w:t>
      </w:r>
      <w:r>
        <w:rPr>
          <w:rFonts w:hint="default" w:ascii="Times New Roman" w:hAnsi="Times New Roman"/>
          <w:sz w:val="24"/>
          <w:szCs w:val="20"/>
        </w:rPr>
        <w:t>, Epée E</w:t>
      </w:r>
      <w:r>
        <w:rPr>
          <w:rFonts w:hint="default" w:ascii="Times New Roman" w:hAnsi="Times New Roman"/>
          <w:sz w:val="24"/>
          <w:szCs w:val="20"/>
          <w:vertAlign w:val="superscript"/>
        </w:rPr>
        <w:t>1</w:t>
      </w:r>
      <w:r>
        <w:rPr>
          <w:rFonts w:hint="default" w:ascii="Times New Roman" w:hAnsi="Times New Roman"/>
          <w:sz w:val="24"/>
          <w:szCs w:val="20"/>
        </w:rPr>
        <w:t>, Bella AL</w:t>
      </w:r>
      <w:r>
        <w:rPr>
          <w:rFonts w:hint="default" w:ascii="Times New Roman" w:hAnsi="Times New Roman"/>
          <w:sz w:val="24"/>
          <w:szCs w:val="20"/>
          <w:vertAlign w:val="superscript"/>
        </w:rPr>
        <w:t>1</w:t>
      </w:r>
    </w:p>
    <w:tbl>
      <w:tblPr>
        <w:tblStyle w:val="9"/>
        <w:tblW w:w="10173" w:type="dxa"/>
        <w:tblInd w:w="0" w:type="dxa"/>
        <w:tblLayout w:type="fixed"/>
        <w:tblCellMar>
          <w:top w:w="0" w:type="dxa"/>
          <w:left w:w="108" w:type="dxa"/>
          <w:bottom w:w="0" w:type="dxa"/>
          <w:right w:w="108" w:type="dxa"/>
        </w:tblCellMar>
      </w:tblPr>
      <w:tblGrid>
        <w:gridCol w:w="3085"/>
        <w:gridCol w:w="7088"/>
      </w:tblGrid>
      <w:tr>
        <w:tblPrEx>
          <w:tblLayout w:type="fixed"/>
          <w:tblCellMar>
            <w:top w:w="0" w:type="dxa"/>
            <w:left w:w="108" w:type="dxa"/>
            <w:bottom w:w="0" w:type="dxa"/>
            <w:right w:w="108" w:type="dxa"/>
          </w:tblCellMar>
        </w:tblPrEx>
        <w:trPr>
          <w:trHeight w:val="158" w:hRule="atLeast"/>
        </w:trPr>
        <w:tc>
          <w:tcPr>
            <w:tcW w:w="3085" w:type="dxa"/>
          </w:tcPr>
          <w:p>
            <w:pPr>
              <w:spacing w:after="0" w:line="240" w:lineRule="auto"/>
              <w:rPr>
                <w:b/>
                <w:bCs/>
                <w:color w:val="365F91"/>
                <w:sz w:val="20"/>
                <w:szCs w:val="18"/>
              </w:rPr>
            </w:pPr>
          </w:p>
        </w:tc>
        <w:tc>
          <w:tcPr>
            <w:tcW w:w="7088" w:type="dxa"/>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98" w:hRule="atLeast"/>
        </w:trPr>
        <w:tc>
          <w:tcPr>
            <w:tcW w:w="3085" w:type="dxa"/>
            <w:vMerge w:val="restart"/>
            <w:shd w:val="clear" w:color="auto" w:fill="D3DFEE"/>
          </w:tcPr>
          <w:p>
            <w:pPr>
              <w:rPr>
                <w:b/>
                <w:bCs/>
                <w:color w:val="365F91"/>
                <w:sz w:val="20"/>
                <w:szCs w:val="18"/>
                <w:vertAlign w:val="superscript"/>
              </w:rPr>
            </w:pPr>
            <w:r>
              <w:rPr>
                <w:bCs/>
                <w:color w:val="5A5A5A"/>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144145</wp:posOffset>
                      </wp:positionV>
                      <wp:extent cx="1746250" cy="4034155"/>
                      <wp:effectExtent l="0" t="0" r="6350" b="4445"/>
                      <wp:wrapNone/>
                      <wp:docPr id="10" name="Zone de texte 10"/>
                      <wp:cNvGraphicFramePr/>
                      <a:graphic xmlns:a="http://schemas.openxmlformats.org/drawingml/2006/main">
                        <a:graphicData uri="http://schemas.microsoft.com/office/word/2010/wordprocessingShape">
                          <wps:wsp>
                            <wps:cNvSpPr txBox="1">
                              <a:spLocks noChangeArrowheads="1"/>
                            </wps:cNvSpPr>
                            <wps:spPr bwMode="auto">
                              <a:xfrm>
                                <a:off x="0" y="0"/>
                                <a:ext cx="1873250" cy="4235450"/>
                              </a:xfrm>
                              <a:prstGeom prst="rect">
                                <a:avLst/>
                              </a:prstGeom>
                              <a:solidFill>
                                <a:srgbClr val="FFFFFF"/>
                              </a:solidFill>
                              <a:ln>
                                <a:noFill/>
                              </a:ln>
                              <a:effectLst/>
                            </wps:spPr>
                            <wps:txbx>
                              <w:txbxContent>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Faculté de Médecine et des Sciences Biomédicales de l’Université de Yaoundé I.</w:t>
                                  </w:r>
                                </w:p>
                                <w:p>
                                  <w:pPr>
                                    <w:pStyle w:val="10"/>
                                    <w:numPr>
                                      <w:numId w:val="0"/>
                                    </w:numPr>
                                    <w:spacing w:after="0" w:line="240" w:lineRule="auto"/>
                                    <w:ind w:left="66" w:leftChars="0"/>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Hôpital d’Instruction, d’Application et de Référence des Armées de Yaoundé (HIARAY)</w:t>
                                  </w:r>
                                  <w:r>
                                    <w:rPr>
                                      <w:rFonts w:hint="default" w:ascii="Times New Roman" w:hAnsi="Times New Roman"/>
                                      <w:sz w:val="18"/>
                                      <w:szCs w:val="20"/>
                                      <w:lang w:val="fr-FR"/>
                                    </w:rPr>
                                    <w:t>.</w:t>
                                  </w:r>
                                </w:p>
                                <w:p>
                                  <w:pPr>
                                    <w:spacing w:after="0" w:line="240" w:lineRule="auto"/>
                                    <w:rPr>
                                      <w:rFonts w:ascii="Times New Roman" w:hAnsi="Times New Roman"/>
                                      <w:sz w:val="18"/>
                                      <w:szCs w:val="20"/>
                                    </w:rPr>
                                  </w:pPr>
                                </w:p>
                                <w:p>
                                  <w:pPr>
                                    <w:spacing w:after="0" w:line="240" w:lineRule="auto"/>
                                    <w:ind w:left="425" w:leftChars="0" w:hanging="425" w:hangingChars="236"/>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424" w:leftChars="0" w:hanging="424" w:hangingChars="236"/>
                                    <w:rPr>
                                      <w:rFonts w:hint="default" w:ascii="Times New Roman" w:hAnsi="Times New Roman"/>
                                      <w:sz w:val="18"/>
                                      <w:szCs w:val="20"/>
                                    </w:rPr>
                                  </w:pPr>
                                  <w:r>
                                    <w:rPr>
                                      <w:rFonts w:ascii="Times New Roman" w:hAnsi="Times New Roman"/>
                                      <w:sz w:val="18"/>
                                      <w:szCs w:val="20"/>
                                    </w:rPr>
                                    <w:t xml:space="preserve">Dr </w:t>
                                  </w:r>
                                  <w:r>
                                    <w:rPr>
                                      <w:rFonts w:hint="default" w:ascii="Times New Roman" w:hAnsi="Times New Roman"/>
                                      <w:sz w:val="18"/>
                                      <w:szCs w:val="20"/>
                                    </w:rPr>
                                    <w:t>Koki Godefroy</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 xml:space="preserve">Adresse e-mail : </w:t>
                                  </w:r>
                                  <w:r>
                                    <w:rPr>
                                      <w:rFonts w:hint="default" w:ascii="Times New Roman" w:hAnsi="Times New Roman"/>
                                      <w:sz w:val="18"/>
                                      <w:szCs w:val="20"/>
                                    </w:rPr>
                                    <w:fldChar w:fldCharType="begin"/>
                                  </w:r>
                                  <w:r>
                                    <w:rPr>
                                      <w:rFonts w:hint="default" w:ascii="Times New Roman" w:hAnsi="Times New Roman"/>
                                      <w:sz w:val="18"/>
                                      <w:szCs w:val="20"/>
                                    </w:rPr>
                                    <w:instrText xml:space="preserve"> HYPERLINK "mailto:kok2002g@yahoo.fr" </w:instrText>
                                  </w:r>
                                  <w:r>
                                    <w:rPr>
                                      <w:rFonts w:hint="default" w:ascii="Times New Roman" w:hAnsi="Times New Roman"/>
                                      <w:sz w:val="18"/>
                                      <w:szCs w:val="20"/>
                                    </w:rPr>
                                    <w:fldChar w:fldCharType="separate"/>
                                  </w:r>
                                  <w:r>
                                    <w:rPr>
                                      <w:rStyle w:val="7"/>
                                      <w:rFonts w:hint="default" w:ascii="Times New Roman" w:hAnsi="Times New Roman"/>
                                      <w:sz w:val="18"/>
                                      <w:szCs w:val="20"/>
                                    </w:rPr>
                                    <w:t>kok2002g@yahoo.fr</w:t>
                                  </w:r>
                                  <w:r>
                                    <w:rPr>
                                      <w:rFonts w:hint="default" w:ascii="Times New Roman" w:hAnsi="Times New Roman"/>
                                      <w:sz w:val="18"/>
                                      <w:szCs w:val="20"/>
                                    </w:rPr>
                                    <w:fldChar w:fldCharType="end"/>
                                  </w:r>
                                  <w:r>
                                    <w:rPr>
                                      <w:rFonts w:hint="default" w:ascii="Times New Roman" w:hAnsi="Times New Roman"/>
                                      <w:sz w:val="18"/>
                                      <w:szCs w:val="20"/>
                                      <w:lang w:val="fr-FR"/>
                                    </w:rPr>
                                    <w:t xml:space="preserve"> </w:t>
                                  </w:r>
                                </w:p>
                                <w:p>
                                  <w:pPr>
                                    <w:spacing w:after="0" w:line="240" w:lineRule="auto"/>
                                    <w:ind w:left="424" w:leftChars="0" w:hanging="424" w:hangingChars="236"/>
                                    <w:rPr>
                                      <w:rFonts w:ascii="Times New Roman" w:hAnsi="Times New Roman"/>
                                      <w:sz w:val="18"/>
                                      <w:szCs w:val="20"/>
                                    </w:rPr>
                                  </w:pPr>
                                  <w:r>
                                    <w:rPr>
                                      <w:rFonts w:ascii="Times New Roman" w:hAnsi="Times New Roman"/>
                                      <w:sz w:val="18"/>
                                      <w:szCs w:val="20"/>
                                    </w:rPr>
                                    <w:t>Bo</w:t>
                                  </w:r>
                                  <w:r>
                                    <w:rPr>
                                      <w:rFonts w:hint="default" w:ascii="Times New Roman" w:hAnsi="Times New Roman"/>
                                      <w:sz w:val="18"/>
                                      <w:szCs w:val="20"/>
                                      <w:lang w:val="fr-FR"/>
                                    </w:rPr>
                                    <w:t>î</w:t>
                                  </w:r>
                                  <w:r>
                                    <w:rPr>
                                      <w:rFonts w:ascii="Times New Roman" w:hAnsi="Times New Roman"/>
                                      <w:sz w:val="18"/>
                                      <w:szCs w:val="20"/>
                                    </w:rPr>
                                    <w:t xml:space="preserve">te postale : </w:t>
                                  </w:r>
                                </w:p>
                                <w:p>
                                  <w:pPr>
                                    <w:spacing w:after="0" w:line="240" w:lineRule="auto"/>
                                    <w:rPr>
                                      <w:rFonts w:ascii="Times New Roman" w:hAnsi="Times New Roman"/>
                                      <w:sz w:val="18"/>
                                      <w:szCs w:val="20"/>
                                    </w:rPr>
                                  </w:pPr>
                                </w:p>
                                <w:p>
                                  <w:pPr>
                                    <w:spacing w:after="0" w:line="240" w:lineRule="auto"/>
                                    <w:rPr>
                                      <w:rFonts w:hint="default" w:ascii="Times New Roman" w:hAnsi="Times New Roman"/>
                                      <w:sz w:val="18"/>
                                      <w:szCs w:val="20"/>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lang w:val="fr-FR"/>
                                    </w:rPr>
                                    <w:t>E</w:t>
                                  </w:r>
                                  <w:r>
                                    <w:rPr>
                                      <w:rFonts w:hint="default" w:ascii="Times New Roman" w:hAnsi="Times New Roman"/>
                                      <w:sz w:val="18"/>
                                      <w:szCs w:val="20"/>
                                    </w:rPr>
                                    <w:t>ndophtalmie</w:t>
                                  </w:r>
                                  <w:r>
                                    <w:rPr>
                                      <w:rFonts w:hint="default" w:ascii="Times New Roman" w:hAnsi="Times New Roman"/>
                                      <w:sz w:val="18"/>
                                      <w:szCs w:val="20"/>
                                      <w:lang w:val="fr-FR"/>
                                    </w:rPr>
                                    <w:t xml:space="preserve"> -</w:t>
                                  </w:r>
                                  <w:r>
                                    <w:rPr>
                                      <w:rFonts w:hint="default" w:ascii="Times New Roman" w:hAnsi="Times New Roman"/>
                                      <w:sz w:val="18"/>
                                      <w:szCs w:val="20"/>
                                    </w:rPr>
                                    <w:t xml:space="preserve"> </w:t>
                                  </w:r>
                                  <w:r>
                                    <w:rPr>
                                      <w:rFonts w:hint="default" w:ascii="Times New Roman" w:hAnsi="Times New Roman"/>
                                      <w:sz w:val="18"/>
                                      <w:szCs w:val="20"/>
                                      <w:lang w:val="fr-FR"/>
                                    </w:rPr>
                                    <w:t>T</w:t>
                                  </w:r>
                                  <w:r>
                                    <w:rPr>
                                      <w:rFonts w:hint="default" w:ascii="Times New Roman" w:hAnsi="Times New Roman"/>
                                      <w:sz w:val="18"/>
                                      <w:szCs w:val="20"/>
                                    </w:rPr>
                                    <w:t>raumatisme oculaire</w:t>
                                  </w:r>
                                  <w:r>
                                    <w:rPr>
                                      <w:rFonts w:hint="default" w:ascii="Times New Roman" w:hAnsi="Times New Roman"/>
                                      <w:sz w:val="18"/>
                                      <w:szCs w:val="20"/>
                                      <w:lang w:val="fr-FR"/>
                                    </w:rPr>
                                    <w:t xml:space="preserve"> -</w:t>
                                  </w:r>
                                  <w:r>
                                    <w:rPr>
                                      <w:rFonts w:hint="default" w:ascii="Times New Roman" w:hAnsi="Times New Roman"/>
                                      <w:sz w:val="18"/>
                                      <w:szCs w:val="20"/>
                                    </w:rPr>
                                    <w:t xml:space="preserve"> Yaoundé.</w:t>
                                  </w:r>
                                </w:p>
                                <w:p>
                                  <w:pPr>
                                    <w:spacing w:after="0" w:line="240" w:lineRule="auto"/>
                                    <w:rPr>
                                      <w:rFonts w:hint="default" w:ascii="Times New Roman" w:hAnsi="Times New Roman"/>
                                      <w:sz w:val="18"/>
                                      <w:szCs w:val="20"/>
                                    </w:rPr>
                                  </w:pPr>
                                </w:p>
                                <w:p>
                                  <w:pPr>
                                    <w:spacing w:after="0" w:line="240" w:lineRule="auto"/>
                                    <w:rPr>
                                      <w:rFonts w:ascii="Times New Roman" w:hAnsi="Times New Roman"/>
                                      <w:sz w:val="20"/>
                                      <w:szCs w:val="20"/>
                                      <w:lang w:val="en-US"/>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sz w:val="18"/>
                                      <w:szCs w:val="20"/>
                                      <w:lang w:val="en-US" w:eastAsia="en-US"/>
                                    </w:rPr>
                                    <w:t>Endophthalmitis - Ocular trauma, - Yaounde.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pt;margin-top:11.35pt;height:317.65pt;width:137.5pt;z-index:251659264;mso-width-relative:page;mso-height-relative:page;" fillcolor="#FFFFFF" filled="t" stroked="f" coordsize="21600,21600" o:gfxdata="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&#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bFnM41gAAAAgBAAAPAAAAAAAAAAEAIAAAACIAAABk&#10;cnMvZG93bnJldi54bWxQSwECFAAUAAAACACHTuJAyCGAOAgCAAAFBAAADgAAAAAAAAABACAAAAAl&#10;AQAAZHJzL2Uyb0RvYy54bWxQSwUGAAAAAAYABgBZAQAAnwUAAAAA&#10;">
                      <v:fill on="t" focussize="0,0"/>
                      <v:stroke on="f"/>
                      <v:imagedata o:title=""/>
                      <o:lock v:ext="edit" aspectratio="f"/>
                      <v:textbox>
                        <w:txbxContent>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Faculté de Médecine et des Sciences Biomédicales de l’Université de Yaoundé I.</w:t>
                            </w:r>
                          </w:p>
                          <w:p>
                            <w:pPr>
                              <w:pStyle w:val="10"/>
                              <w:numPr>
                                <w:numId w:val="0"/>
                              </w:numPr>
                              <w:spacing w:after="0" w:line="240" w:lineRule="auto"/>
                              <w:ind w:left="66" w:leftChars="0"/>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Hôpital d’Instruction, d’Application et de Référence des Armées de Yaoundé (HIARAY)</w:t>
                            </w:r>
                            <w:r>
                              <w:rPr>
                                <w:rFonts w:hint="default" w:ascii="Times New Roman" w:hAnsi="Times New Roman"/>
                                <w:sz w:val="18"/>
                                <w:szCs w:val="20"/>
                                <w:lang w:val="fr-FR"/>
                              </w:rPr>
                              <w:t>.</w:t>
                            </w:r>
                          </w:p>
                          <w:p>
                            <w:pPr>
                              <w:spacing w:after="0" w:line="240" w:lineRule="auto"/>
                              <w:rPr>
                                <w:rFonts w:ascii="Times New Roman" w:hAnsi="Times New Roman"/>
                                <w:sz w:val="18"/>
                                <w:szCs w:val="20"/>
                              </w:rPr>
                            </w:pPr>
                          </w:p>
                          <w:p>
                            <w:pPr>
                              <w:spacing w:after="0" w:line="240" w:lineRule="auto"/>
                              <w:ind w:left="425" w:leftChars="0" w:hanging="425" w:hangingChars="236"/>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424" w:leftChars="0" w:hanging="424" w:hangingChars="236"/>
                              <w:rPr>
                                <w:rFonts w:hint="default" w:ascii="Times New Roman" w:hAnsi="Times New Roman"/>
                                <w:sz w:val="18"/>
                                <w:szCs w:val="20"/>
                              </w:rPr>
                            </w:pPr>
                            <w:r>
                              <w:rPr>
                                <w:rFonts w:ascii="Times New Roman" w:hAnsi="Times New Roman"/>
                                <w:sz w:val="18"/>
                                <w:szCs w:val="20"/>
                              </w:rPr>
                              <w:t xml:space="preserve">Dr </w:t>
                            </w:r>
                            <w:r>
                              <w:rPr>
                                <w:rFonts w:hint="default" w:ascii="Times New Roman" w:hAnsi="Times New Roman"/>
                                <w:sz w:val="18"/>
                                <w:szCs w:val="20"/>
                              </w:rPr>
                              <w:t>Koki Godefroy</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 xml:space="preserve">Adresse e-mail : </w:t>
                            </w:r>
                            <w:r>
                              <w:rPr>
                                <w:rFonts w:hint="default" w:ascii="Times New Roman" w:hAnsi="Times New Roman"/>
                                <w:sz w:val="18"/>
                                <w:szCs w:val="20"/>
                              </w:rPr>
                              <w:fldChar w:fldCharType="begin"/>
                            </w:r>
                            <w:r>
                              <w:rPr>
                                <w:rFonts w:hint="default" w:ascii="Times New Roman" w:hAnsi="Times New Roman"/>
                                <w:sz w:val="18"/>
                                <w:szCs w:val="20"/>
                              </w:rPr>
                              <w:instrText xml:space="preserve"> HYPERLINK "mailto:kok2002g@yahoo.fr" </w:instrText>
                            </w:r>
                            <w:r>
                              <w:rPr>
                                <w:rFonts w:hint="default" w:ascii="Times New Roman" w:hAnsi="Times New Roman"/>
                                <w:sz w:val="18"/>
                                <w:szCs w:val="20"/>
                              </w:rPr>
                              <w:fldChar w:fldCharType="separate"/>
                            </w:r>
                            <w:r>
                              <w:rPr>
                                <w:rStyle w:val="7"/>
                                <w:rFonts w:hint="default" w:ascii="Times New Roman" w:hAnsi="Times New Roman"/>
                                <w:sz w:val="18"/>
                                <w:szCs w:val="20"/>
                              </w:rPr>
                              <w:t>kok2002g@yahoo.fr</w:t>
                            </w:r>
                            <w:r>
                              <w:rPr>
                                <w:rFonts w:hint="default" w:ascii="Times New Roman" w:hAnsi="Times New Roman"/>
                                <w:sz w:val="18"/>
                                <w:szCs w:val="20"/>
                              </w:rPr>
                              <w:fldChar w:fldCharType="end"/>
                            </w:r>
                            <w:r>
                              <w:rPr>
                                <w:rFonts w:hint="default" w:ascii="Times New Roman" w:hAnsi="Times New Roman"/>
                                <w:sz w:val="18"/>
                                <w:szCs w:val="20"/>
                                <w:lang w:val="fr-FR"/>
                              </w:rPr>
                              <w:t xml:space="preserve"> </w:t>
                            </w:r>
                          </w:p>
                          <w:p>
                            <w:pPr>
                              <w:spacing w:after="0" w:line="240" w:lineRule="auto"/>
                              <w:ind w:left="424" w:leftChars="0" w:hanging="424" w:hangingChars="236"/>
                              <w:rPr>
                                <w:rFonts w:ascii="Times New Roman" w:hAnsi="Times New Roman"/>
                                <w:sz w:val="18"/>
                                <w:szCs w:val="20"/>
                              </w:rPr>
                            </w:pPr>
                            <w:r>
                              <w:rPr>
                                <w:rFonts w:ascii="Times New Roman" w:hAnsi="Times New Roman"/>
                                <w:sz w:val="18"/>
                                <w:szCs w:val="20"/>
                              </w:rPr>
                              <w:t>Bo</w:t>
                            </w:r>
                            <w:r>
                              <w:rPr>
                                <w:rFonts w:hint="default" w:ascii="Times New Roman" w:hAnsi="Times New Roman"/>
                                <w:sz w:val="18"/>
                                <w:szCs w:val="20"/>
                                <w:lang w:val="fr-FR"/>
                              </w:rPr>
                              <w:t>î</w:t>
                            </w:r>
                            <w:r>
                              <w:rPr>
                                <w:rFonts w:ascii="Times New Roman" w:hAnsi="Times New Roman"/>
                                <w:sz w:val="18"/>
                                <w:szCs w:val="20"/>
                              </w:rPr>
                              <w:t xml:space="preserve">te postale : </w:t>
                            </w:r>
                          </w:p>
                          <w:p>
                            <w:pPr>
                              <w:spacing w:after="0" w:line="240" w:lineRule="auto"/>
                              <w:rPr>
                                <w:rFonts w:ascii="Times New Roman" w:hAnsi="Times New Roman"/>
                                <w:sz w:val="18"/>
                                <w:szCs w:val="20"/>
                              </w:rPr>
                            </w:pPr>
                          </w:p>
                          <w:p>
                            <w:pPr>
                              <w:spacing w:after="0" w:line="240" w:lineRule="auto"/>
                              <w:rPr>
                                <w:rFonts w:hint="default" w:ascii="Times New Roman" w:hAnsi="Times New Roman"/>
                                <w:sz w:val="18"/>
                                <w:szCs w:val="20"/>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lang w:val="fr-FR"/>
                              </w:rPr>
                              <w:t>E</w:t>
                            </w:r>
                            <w:r>
                              <w:rPr>
                                <w:rFonts w:hint="default" w:ascii="Times New Roman" w:hAnsi="Times New Roman"/>
                                <w:sz w:val="18"/>
                                <w:szCs w:val="20"/>
                              </w:rPr>
                              <w:t>ndophtalmie</w:t>
                            </w:r>
                            <w:r>
                              <w:rPr>
                                <w:rFonts w:hint="default" w:ascii="Times New Roman" w:hAnsi="Times New Roman"/>
                                <w:sz w:val="18"/>
                                <w:szCs w:val="20"/>
                                <w:lang w:val="fr-FR"/>
                              </w:rPr>
                              <w:t xml:space="preserve"> -</w:t>
                            </w:r>
                            <w:r>
                              <w:rPr>
                                <w:rFonts w:hint="default" w:ascii="Times New Roman" w:hAnsi="Times New Roman"/>
                                <w:sz w:val="18"/>
                                <w:szCs w:val="20"/>
                              </w:rPr>
                              <w:t xml:space="preserve"> </w:t>
                            </w:r>
                            <w:r>
                              <w:rPr>
                                <w:rFonts w:hint="default" w:ascii="Times New Roman" w:hAnsi="Times New Roman"/>
                                <w:sz w:val="18"/>
                                <w:szCs w:val="20"/>
                                <w:lang w:val="fr-FR"/>
                              </w:rPr>
                              <w:t>T</w:t>
                            </w:r>
                            <w:r>
                              <w:rPr>
                                <w:rFonts w:hint="default" w:ascii="Times New Roman" w:hAnsi="Times New Roman"/>
                                <w:sz w:val="18"/>
                                <w:szCs w:val="20"/>
                              </w:rPr>
                              <w:t>raumatisme oculaire</w:t>
                            </w:r>
                            <w:r>
                              <w:rPr>
                                <w:rFonts w:hint="default" w:ascii="Times New Roman" w:hAnsi="Times New Roman"/>
                                <w:sz w:val="18"/>
                                <w:szCs w:val="20"/>
                                <w:lang w:val="fr-FR"/>
                              </w:rPr>
                              <w:t xml:space="preserve"> -</w:t>
                            </w:r>
                            <w:r>
                              <w:rPr>
                                <w:rFonts w:hint="default" w:ascii="Times New Roman" w:hAnsi="Times New Roman"/>
                                <w:sz w:val="18"/>
                                <w:szCs w:val="20"/>
                              </w:rPr>
                              <w:t xml:space="preserve"> Yaoundé.</w:t>
                            </w:r>
                          </w:p>
                          <w:p>
                            <w:pPr>
                              <w:spacing w:after="0" w:line="240" w:lineRule="auto"/>
                              <w:rPr>
                                <w:rFonts w:hint="default" w:ascii="Times New Roman" w:hAnsi="Times New Roman"/>
                                <w:sz w:val="18"/>
                                <w:szCs w:val="20"/>
                              </w:rPr>
                            </w:pPr>
                          </w:p>
                          <w:p>
                            <w:pPr>
                              <w:spacing w:after="0" w:line="240" w:lineRule="auto"/>
                              <w:rPr>
                                <w:rFonts w:ascii="Times New Roman" w:hAnsi="Times New Roman"/>
                                <w:sz w:val="20"/>
                                <w:szCs w:val="20"/>
                                <w:lang w:val="en-US"/>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sz w:val="18"/>
                                <w:szCs w:val="20"/>
                                <w:lang w:val="en-US" w:eastAsia="en-US"/>
                              </w:rPr>
                              <w:t>Endophthalmitis - Ocular trauma, - Yaounde.</w:t>
                            </w:r>
                          </w:p>
                        </w:txbxContent>
                      </v:textbox>
                    </v:shape>
                  </w:pict>
                </mc:Fallback>
              </mc:AlternateContent>
            </w:r>
          </w:p>
        </w:tc>
        <w:tc>
          <w:tcPr>
            <w:tcW w:w="7088" w:type="dxa"/>
            <w:shd w:val="clear" w:color="auto" w:fill="D3DFEE"/>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4082" w:hRule="atLeast"/>
        </w:trPr>
        <w:tc>
          <w:tcPr>
            <w:tcW w:w="3085" w:type="dxa"/>
            <w:vMerge w:val="continue"/>
          </w:tcPr>
          <w:p>
            <w:pPr>
              <w:rPr>
                <w:b/>
                <w:bCs/>
                <w:color w:val="365F91"/>
                <w:sz w:val="20"/>
                <w:szCs w:val="18"/>
                <w:vertAlign w:val="superscript"/>
              </w:rPr>
            </w:pPr>
          </w:p>
        </w:tc>
        <w:tc>
          <w:tcPr>
            <w:tcW w:w="7088" w:type="dxa"/>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lang w:val="fr-FR" w:eastAsia="en-US"/>
              </w:rPr>
            </w:pPr>
            <w:r>
              <w:rPr>
                <w:rFonts w:ascii="Times New Roman" w:hAnsi="Times New Roman"/>
                <w:b/>
                <w:sz w:val="18"/>
                <w:szCs w:val="20"/>
              </w:rPr>
              <w:t>Objectif.</w:t>
            </w:r>
            <w:r>
              <w:rPr>
                <w:rFonts w:hint="default" w:ascii="Times New Roman" w:hAnsi="Times New Roman"/>
                <w:b w:val="0"/>
                <w:bCs/>
                <w:sz w:val="18"/>
                <w:szCs w:val="20"/>
                <w:lang w:val="fr-FR"/>
              </w:rPr>
              <w:t xml:space="preserve"> D</w:t>
            </w:r>
            <w:r>
              <w:rPr>
                <w:rFonts w:hint="default" w:ascii="Times New Roman" w:hAnsi="Times New Roman"/>
                <w:b w:val="0"/>
                <w:bCs/>
                <w:sz w:val="18"/>
                <w:szCs w:val="20"/>
              </w:rPr>
              <w:t>éterminer les caractéristiques cliniques et étiologiques de l’endophtalmie.</w:t>
            </w:r>
            <w:r>
              <w:rPr>
                <w:rFonts w:hint="default" w:ascii="Times New Roman" w:hAnsi="Times New Roman"/>
                <w:b/>
                <w:bCs w:val="0"/>
                <w:sz w:val="18"/>
                <w:szCs w:val="20"/>
                <w:lang w:val="fr-FR"/>
              </w:rPr>
              <w:t xml:space="preserve"> Patients</w:t>
            </w:r>
            <w:r>
              <w:rPr>
                <w:rFonts w:hint="default" w:ascii="Times New Roman" w:hAnsi="Times New Roman"/>
                <w:b/>
                <w:bCs w:val="0"/>
                <w:sz w:val="18"/>
                <w:szCs w:val="20"/>
              </w:rPr>
              <w:t xml:space="preserve"> et Méthode</w:t>
            </w:r>
            <w:r>
              <w:rPr>
                <w:rFonts w:hint="default" w:ascii="Times New Roman" w:hAnsi="Times New Roman"/>
                <w:b/>
                <w:bCs w:val="0"/>
                <w:sz w:val="18"/>
                <w:szCs w:val="20"/>
                <w:lang w:val="fr-FR"/>
              </w:rPr>
              <w:t>.</w:t>
            </w:r>
            <w:r>
              <w:rPr>
                <w:rFonts w:hint="default" w:ascii="Times New Roman" w:hAnsi="Times New Roman"/>
                <w:b w:val="0"/>
                <w:bCs/>
                <w:sz w:val="18"/>
                <w:szCs w:val="20"/>
                <w:lang w:val="fr-FR"/>
              </w:rPr>
              <w:t xml:space="preserve"> Étude</w:t>
            </w:r>
            <w:r>
              <w:rPr>
                <w:rFonts w:hint="default" w:ascii="Times New Roman" w:hAnsi="Times New Roman"/>
                <w:b w:val="0"/>
                <w:bCs/>
                <w:sz w:val="18"/>
                <w:szCs w:val="20"/>
              </w:rPr>
              <w:t xml:space="preserve"> rétrospective et descriptive réalisée sur une période de 10 ans allant de Janvier 2008 à Décembre 2017 à l’HIARAY. </w:t>
            </w:r>
            <w:r>
              <w:rPr>
                <w:rFonts w:hint="default" w:ascii="Times New Roman" w:hAnsi="Times New Roman"/>
                <w:b w:val="0"/>
                <w:bCs/>
                <w:sz w:val="18"/>
                <w:szCs w:val="20"/>
                <w:lang w:val="fr-FR"/>
              </w:rPr>
              <w:t>Étaient</w:t>
            </w:r>
            <w:r>
              <w:rPr>
                <w:rFonts w:hint="default" w:ascii="Times New Roman" w:hAnsi="Times New Roman"/>
                <w:b w:val="0"/>
                <w:bCs/>
                <w:sz w:val="18"/>
                <w:szCs w:val="20"/>
              </w:rPr>
              <w:t xml:space="preserve"> inclus, tout dossier de patients suivis pour endophtalmie cliniquement avérée et ayant bénéficié d’un examen ophtalmologique complet avec ou sans examens complémentaires. Les variables étudiées étaient </w:t>
            </w:r>
            <w:r>
              <w:rPr>
                <w:rFonts w:hint="default" w:ascii="Times New Roman" w:hAnsi="Times New Roman"/>
                <w:b w:val="0"/>
                <w:bCs/>
                <w:sz w:val="18"/>
                <w:szCs w:val="20"/>
                <w:lang w:val="fr-FR"/>
              </w:rPr>
              <w:t>d’ordre</w:t>
            </w:r>
            <w:r>
              <w:rPr>
                <w:rFonts w:hint="default" w:ascii="Times New Roman" w:hAnsi="Times New Roman"/>
                <w:b w:val="0"/>
                <w:bCs/>
                <w:sz w:val="18"/>
                <w:szCs w:val="20"/>
              </w:rPr>
              <w:t xml:space="preserve"> cliniques</w:t>
            </w:r>
            <w:r>
              <w:rPr>
                <w:rFonts w:hint="default" w:ascii="Times New Roman" w:hAnsi="Times New Roman"/>
                <w:b w:val="0"/>
                <w:bCs/>
                <w:sz w:val="18"/>
                <w:szCs w:val="20"/>
                <w:lang w:val="fr-FR"/>
              </w:rPr>
              <w:t xml:space="preserve"> </w:t>
            </w:r>
            <w:r>
              <w:rPr>
                <w:rFonts w:hint="default" w:ascii="Times New Roman" w:hAnsi="Times New Roman"/>
                <w:b w:val="0"/>
                <w:bCs/>
                <w:sz w:val="18"/>
                <w:szCs w:val="20"/>
              </w:rPr>
              <w:t xml:space="preserve">(motif et délais de consultation, antécédents, acuité visuelle, signes cliniques), para cliniques (imagerie) et étiologiques (mode de contamination, biologie). Le logiciel IBM-SPSS 22.0 a permis l’analyse des données et le test de khi 2 </w:t>
            </w:r>
            <w:r>
              <w:rPr>
                <w:rFonts w:hint="default" w:ascii="Times New Roman" w:hAnsi="Times New Roman"/>
                <w:b w:val="0"/>
                <w:bCs/>
                <w:sz w:val="18"/>
                <w:szCs w:val="20"/>
                <w:lang w:val="fr-FR"/>
              </w:rPr>
              <w:t xml:space="preserve">a été </w:t>
            </w:r>
            <w:r>
              <w:rPr>
                <w:rFonts w:hint="default" w:ascii="Times New Roman" w:hAnsi="Times New Roman"/>
                <w:b w:val="0"/>
                <w:bCs/>
                <w:sz w:val="18"/>
                <w:szCs w:val="20"/>
              </w:rPr>
              <w:t xml:space="preserve">utilisé avec p &lt; 0,05 significatif. </w:t>
            </w:r>
            <w:r>
              <w:rPr>
                <w:rFonts w:hint="default" w:ascii="Times New Roman" w:hAnsi="Times New Roman"/>
                <w:b/>
                <w:bCs w:val="0"/>
                <w:sz w:val="18"/>
                <w:szCs w:val="20"/>
              </w:rPr>
              <w:t>Résultats</w:t>
            </w:r>
            <w:r>
              <w:rPr>
                <w:rFonts w:hint="default" w:ascii="Times New Roman" w:hAnsi="Times New Roman"/>
                <w:b/>
                <w:bCs w:val="0"/>
                <w:sz w:val="18"/>
                <w:szCs w:val="20"/>
                <w:lang w:val="fr-FR"/>
              </w:rPr>
              <w:t>.</w:t>
            </w:r>
            <w:r>
              <w:rPr>
                <w:rFonts w:hint="default" w:ascii="Times New Roman" w:hAnsi="Times New Roman"/>
                <w:b w:val="0"/>
                <w:bCs/>
                <w:sz w:val="18"/>
                <w:szCs w:val="20"/>
                <w:lang w:val="fr-FR"/>
              </w:rPr>
              <w:t xml:space="preserve"> 30</w:t>
            </w:r>
            <w:r>
              <w:rPr>
                <w:rFonts w:hint="default" w:ascii="Times New Roman" w:hAnsi="Times New Roman"/>
                <w:b w:val="0"/>
                <w:bCs/>
                <w:sz w:val="18"/>
                <w:szCs w:val="20"/>
              </w:rPr>
              <w:t xml:space="preserve"> sur 18255 dossiers de patients étaient retenus, soit 0,16%. L’âge moyen était de 47,86 ± 21,66 ans avec une prédominance masculine. L’endophtalmie était unilatérale dans 100% de cas</w:t>
            </w:r>
            <w:r>
              <w:rPr>
                <w:rFonts w:hint="default" w:ascii="Times New Roman" w:hAnsi="Times New Roman"/>
                <w:b w:val="0"/>
                <w:bCs/>
                <w:sz w:val="18"/>
                <w:szCs w:val="20"/>
                <w:lang w:val="fr-FR"/>
              </w:rPr>
              <w:t xml:space="preserve">. </w:t>
            </w:r>
            <w:r>
              <w:rPr>
                <w:rFonts w:hint="default" w:ascii="Times New Roman" w:hAnsi="Times New Roman"/>
                <w:b w:val="0"/>
                <w:bCs/>
                <w:sz w:val="18"/>
                <w:szCs w:val="20"/>
              </w:rPr>
              <w:t xml:space="preserve">70% </w:t>
            </w:r>
            <w:r>
              <w:rPr>
                <w:rFonts w:hint="default" w:ascii="Times New Roman" w:hAnsi="Times New Roman"/>
                <w:b w:val="0"/>
                <w:bCs/>
                <w:sz w:val="18"/>
                <w:szCs w:val="20"/>
                <w:lang w:val="fr-FR"/>
              </w:rPr>
              <w:t xml:space="preserve">de patients </w:t>
            </w:r>
            <w:r>
              <w:rPr>
                <w:rFonts w:hint="default" w:ascii="Times New Roman" w:hAnsi="Times New Roman"/>
                <w:b w:val="0"/>
                <w:bCs/>
                <w:sz w:val="18"/>
                <w:szCs w:val="20"/>
              </w:rPr>
              <w:t xml:space="preserve">avaient consulté entre 3 et 30 jours. Les signes fonctionnels étaient la douleur dans 80% de cas et la baisse d’acuité visuelle dans 100 %. L’examen clinique révélait une hyperhémie conjonctivale dans 93,33% de cas, un abcès de cornée dans 50% </w:t>
            </w:r>
            <w:r>
              <w:rPr>
                <w:rFonts w:hint="default" w:ascii="Times New Roman" w:hAnsi="Times New Roman"/>
                <w:b w:val="0"/>
                <w:bCs/>
                <w:sz w:val="18"/>
                <w:szCs w:val="20"/>
                <w:lang w:val="fr-FR"/>
              </w:rPr>
              <w:t xml:space="preserve">de cas </w:t>
            </w:r>
            <w:r>
              <w:rPr>
                <w:rFonts w:hint="default" w:ascii="Times New Roman" w:hAnsi="Times New Roman"/>
                <w:b w:val="0"/>
                <w:bCs/>
                <w:sz w:val="18"/>
                <w:szCs w:val="20"/>
              </w:rPr>
              <w:t>et un hypopion dans 66,66%</w:t>
            </w:r>
            <w:r>
              <w:rPr>
                <w:rFonts w:hint="default" w:ascii="Times New Roman" w:hAnsi="Times New Roman"/>
                <w:b w:val="0"/>
                <w:bCs/>
                <w:sz w:val="18"/>
                <w:szCs w:val="20"/>
                <w:lang w:val="fr-FR"/>
              </w:rPr>
              <w:t xml:space="preserve"> de cas</w:t>
            </w:r>
            <w:r>
              <w:rPr>
                <w:rFonts w:hint="default" w:ascii="Times New Roman" w:hAnsi="Times New Roman"/>
                <w:b w:val="0"/>
                <w:bCs/>
                <w:sz w:val="18"/>
                <w:szCs w:val="20"/>
              </w:rPr>
              <w:t>. Une hyalite antérieure à 3 croix était observé</w:t>
            </w:r>
            <w:r>
              <w:rPr>
                <w:rFonts w:hint="default" w:ascii="Times New Roman" w:hAnsi="Times New Roman"/>
                <w:b w:val="0"/>
                <w:bCs/>
                <w:sz w:val="18"/>
                <w:szCs w:val="20"/>
                <w:lang w:val="fr-FR"/>
              </w:rPr>
              <w:t>e chez</w:t>
            </w:r>
            <w:r>
              <w:rPr>
                <w:rFonts w:hint="default" w:ascii="Times New Roman" w:hAnsi="Times New Roman"/>
                <w:b w:val="0"/>
                <w:bCs/>
                <w:sz w:val="18"/>
                <w:szCs w:val="20"/>
              </w:rPr>
              <w:t xml:space="preserve"> 6,66%</w:t>
            </w:r>
            <w:r>
              <w:rPr>
                <w:rFonts w:hint="default" w:ascii="Times New Roman" w:hAnsi="Times New Roman"/>
                <w:b w:val="0"/>
                <w:bCs/>
                <w:sz w:val="18"/>
                <w:szCs w:val="20"/>
                <w:lang w:val="fr-FR"/>
              </w:rPr>
              <w:t xml:space="preserve"> des patients</w:t>
            </w:r>
            <w:r>
              <w:rPr>
                <w:rFonts w:hint="default" w:ascii="Times New Roman" w:hAnsi="Times New Roman"/>
                <w:b w:val="0"/>
                <w:bCs/>
                <w:sz w:val="18"/>
                <w:szCs w:val="20"/>
              </w:rPr>
              <w:t xml:space="preserve">. Les étiologies étaient dominées par les traumatismes </w:t>
            </w:r>
            <w:r>
              <w:rPr>
                <w:rFonts w:hint="default" w:ascii="Times New Roman" w:hAnsi="Times New Roman"/>
                <w:b w:val="0"/>
                <w:bCs/>
                <w:sz w:val="18"/>
                <w:szCs w:val="20"/>
                <w:lang w:val="fr-FR"/>
              </w:rPr>
              <w:t>(</w:t>
            </w:r>
            <w:r>
              <w:rPr>
                <w:rFonts w:hint="default" w:ascii="Times New Roman" w:hAnsi="Times New Roman"/>
                <w:b w:val="0"/>
                <w:bCs/>
                <w:sz w:val="18"/>
                <w:szCs w:val="20"/>
              </w:rPr>
              <w:t>50%</w:t>
            </w:r>
            <w:r>
              <w:rPr>
                <w:rFonts w:hint="default" w:ascii="Times New Roman" w:hAnsi="Times New Roman"/>
                <w:b w:val="0"/>
                <w:bCs/>
                <w:sz w:val="18"/>
                <w:szCs w:val="20"/>
                <w:lang w:val="fr-FR"/>
              </w:rPr>
              <w:t>)</w:t>
            </w:r>
            <w:r>
              <w:rPr>
                <w:rFonts w:hint="default" w:ascii="Times New Roman" w:hAnsi="Times New Roman"/>
                <w:b w:val="0"/>
                <w:bCs/>
                <w:sz w:val="18"/>
                <w:szCs w:val="20"/>
              </w:rPr>
              <w:t xml:space="preserve"> dont 30% d’origine végétale. La cécité surven</w:t>
            </w:r>
            <w:r>
              <w:rPr>
                <w:rFonts w:hint="default" w:ascii="Times New Roman" w:hAnsi="Times New Roman"/>
                <w:b w:val="0"/>
                <w:bCs/>
                <w:sz w:val="18"/>
                <w:szCs w:val="20"/>
                <w:lang w:val="fr-FR"/>
              </w:rPr>
              <w:t>ait</w:t>
            </w:r>
            <w:r>
              <w:rPr>
                <w:rFonts w:hint="default" w:ascii="Times New Roman" w:hAnsi="Times New Roman"/>
                <w:b w:val="0"/>
                <w:bCs/>
                <w:sz w:val="18"/>
                <w:szCs w:val="20"/>
              </w:rPr>
              <w:t xml:space="preserve"> </w:t>
            </w:r>
            <w:r>
              <w:rPr>
                <w:rFonts w:hint="default" w:ascii="Times New Roman" w:hAnsi="Times New Roman"/>
                <w:b w:val="0"/>
                <w:bCs/>
                <w:sz w:val="18"/>
                <w:szCs w:val="20"/>
                <w:lang w:val="fr-FR"/>
              </w:rPr>
              <w:t>à</w:t>
            </w:r>
            <w:r>
              <w:rPr>
                <w:rFonts w:hint="default" w:ascii="Times New Roman" w:hAnsi="Times New Roman"/>
                <w:b w:val="0"/>
                <w:bCs/>
                <w:sz w:val="18"/>
                <w:szCs w:val="20"/>
              </w:rPr>
              <w:t xml:space="preserve"> 93,40% </w:t>
            </w:r>
            <w:r>
              <w:rPr>
                <w:rFonts w:hint="default" w:ascii="Times New Roman" w:hAnsi="Times New Roman"/>
                <w:b w:val="0"/>
                <w:bCs/>
                <w:sz w:val="18"/>
                <w:szCs w:val="20"/>
                <w:lang w:val="fr-FR"/>
              </w:rPr>
              <w:t>et</w:t>
            </w:r>
            <w:r>
              <w:rPr>
                <w:rFonts w:hint="default" w:ascii="Times New Roman" w:hAnsi="Times New Roman"/>
                <w:b w:val="0"/>
                <w:bCs/>
                <w:sz w:val="18"/>
                <w:szCs w:val="20"/>
              </w:rPr>
              <w:t xml:space="preserve"> était totale dans 36,70%</w:t>
            </w:r>
            <w:r>
              <w:rPr>
                <w:rFonts w:hint="default" w:ascii="Times New Roman" w:hAnsi="Times New Roman"/>
                <w:b w:val="0"/>
                <w:bCs/>
                <w:sz w:val="18"/>
                <w:szCs w:val="20"/>
                <w:lang w:val="fr-FR"/>
              </w:rPr>
              <w:t xml:space="preserve"> des cas</w:t>
            </w:r>
            <w:r>
              <w:rPr>
                <w:rFonts w:hint="default" w:ascii="Times New Roman" w:hAnsi="Times New Roman"/>
                <w:b w:val="0"/>
                <w:bCs/>
                <w:sz w:val="18"/>
                <w:szCs w:val="20"/>
              </w:rPr>
              <w:t>.</w:t>
            </w:r>
            <w:r>
              <w:rPr>
                <w:rFonts w:hint="default" w:ascii="Times New Roman" w:hAnsi="Times New Roman"/>
                <w:b w:val="0"/>
                <w:bCs/>
                <w:sz w:val="18"/>
                <w:szCs w:val="20"/>
                <w:lang w:val="fr-FR"/>
              </w:rPr>
              <w:t xml:space="preserve"> </w:t>
            </w:r>
            <w:r>
              <w:rPr>
                <w:rFonts w:hint="default" w:ascii="Times New Roman" w:hAnsi="Times New Roman"/>
                <w:b/>
                <w:bCs w:val="0"/>
                <w:sz w:val="18"/>
                <w:szCs w:val="20"/>
              </w:rPr>
              <w:t>Conclusion</w:t>
            </w:r>
            <w:r>
              <w:rPr>
                <w:rFonts w:hint="default" w:ascii="Times New Roman" w:hAnsi="Times New Roman"/>
                <w:b/>
                <w:bCs w:val="0"/>
                <w:sz w:val="18"/>
                <w:szCs w:val="20"/>
                <w:lang w:val="fr-FR"/>
              </w:rPr>
              <w:t xml:space="preserve">. </w:t>
            </w:r>
            <w:r>
              <w:rPr>
                <w:rFonts w:hint="default" w:ascii="Times New Roman" w:hAnsi="Times New Roman" w:cs="Times New Roman" w:eastAsiaTheme="minorHAnsi"/>
                <w:sz w:val="18"/>
                <w:szCs w:val="18"/>
                <w:lang w:val="en-US" w:eastAsia="en-US"/>
              </w:rPr>
              <w:t>Les endophtalmies sont des pathologies rares dans notre milieu avec une prévalence hospitalière de 0.16 %</w:t>
            </w:r>
            <w:r>
              <w:rPr>
                <w:rFonts w:hint="default" w:ascii="Times New Roman" w:hAnsi="Times New Roman" w:cs="Times New Roman"/>
                <w:sz w:val="18"/>
                <w:szCs w:val="18"/>
                <w:lang w:val="fr-FR" w:eastAsia="en-US"/>
              </w:rPr>
              <w:t xml:space="preserve">. Elle </w:t>
            </w:r>
            <w:r>
              <w:rPr>
                <w:rFonts w:hint="default" w:ascii="Times New Roman" w:hAnsi="Times New Roman"/>
                <w:b w:val="0"/>
                <w:bCs/>
                <w:sz w:val="18"/>
                <w:szCs w:val="20"/>
              </w:rPr>
              <w:t>est principa</w:t>
            </w:r>
            <w:r>
              <w:rPr>
                <w:rFonts w:hint="default" w:ascii="Times New Roman" w:hAnsi="Times New Roman"/>
                <w:b w:val="0"/>
                <w:bCs/>
                <w:sz w:val="18"/>
                <w:szCs w:val="20"/>
                <w:lang w:val="fr-FR"/>
              </w:rPr>
              <w:t>lement d’</w:t>
            </w:r>
            <w:r>
              <w:rPr>
                <w:rFonts w:hint="default" w:ascii="Times New Roman" w:hAnsi="Times New Roman"/>
                <w:b w:val="0"/>
                <w:bCs/>
                <w:sz w:val="18"/>
                <w:szCs w:val="20"/>
              </w:rPr>
              <w:t xml:space="preserve"> étiologie</w:t>
            </w:r>
            <w:r>
              <w:rPr>
                <w:rFonts w:hint="default" w:ascii="Times New Roman" w:hAnsi="Times New Roman"/>
                <w:b w:val="0"/>
                <w:bCs/>
                <w:sz w:val="18"/>
                <w:szCs w:val="20"/>
                <w:lang w:val="fr-FR"/>
              </w:rPr>
              <w:t xml:space="preserve"> traumatique</w:t>
            </w:r>
            <w:r>
              <w:rPr>
                <w:rFonts w:hint="default" w:ascii="Times New Roman" w:hAnsi="Times New Roman" w:cs="Times New Roman" w:eastAsiaTheme="minorHAnsi"/>
                <w:sz w:val="18"/>
                <w:szCs w:val="18"/>
                <w:lang w:val="en-US" w:eastAsia="en-US"/>
              </w:rPr>
              <w:t xml:space="preserve"> et aux conséquences graves car entraînent une cécité monoculaire chez neuf patients sur 10</w:t>
            </w:r>
            <w:r>
              <w:rPr>
                <w:rFonts w:hint="default" w:ascii="Times New Roman" w:hAnsi="Times New Roman" w:cs="Times New Roman"/>
                <w:sz w:val="18"/>
                <w:szCs w:val="18"/>
                <w:lang w:val="fr-FR" w:eastAsia="en-US"/>
              </w:rPr>
              <w:t>.</w:t>
            </w:r>
          </w:p>
        </w:tc>
      </w:tr>
      <w:tr>
        <w:tblPrEx>
          <w:tblLayout w:type="fixed"/>
          <w:tblCellMar>
            <w:top w:w="0" w:type="dxa"/>
            <w:left w:w="108" w:type="dxa"/>
            <w:bottom w:w="0" w:type="dxa"/>
            <w:right w:w="108" w:type="dxa"/>
          </w:tblCellMar>
        </w:tblPrEx>
        <w:trPr>
          <w:trHeight w:val="184" w:hRule="atLeast"/>
        </w:trPr>
        <w:tc>
          <w:tcPr>
            <w:tcW w:w="3085" w:type="dxa"/>
            <w:vMerge w:val="restart"/>
            <w:shd w:val="clear" w:color="auto" w:fill="D3DFEE"/>
          </w:tcPr>
          <w:p>
            <w:pPr>
              <w:rPr>
                <w:b/>
                <w:bCs/>
                <w:color w:val="365F91"/>
                <w:sz w:val="20"/>
                <w:szCs w:val="18"/>
                <w:vertAlign w:val="superscript"/>
                <w:lang w:val="en-US"/>
              </w:rPr>
            </w:pPr>
          </w:p>
        </w:tc>
        <w:tc>
          <w:tcPr>
            <w:tcW w:w="7088"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3865" w:hRule="atLeast"/>
        </w:trPr>
        <w:tc>
          <w:tcPr>
            <w:tcW w:w="3085" w:type="dxa"/>
            <w:vMerge w:val="continue"/>
          </w:tcPr>
          <w:p>
            <w:pPr>
              <w:rPr>
                <w:b/>
                <w:bCs/>
                <w:color w:val="365F91"/>
                <w:sz w:val="20"/>
                <w:szCs w:val="18"/>
                <w:vertAlign w:val="superscript"/>
              </w:rPr>
            </w:pPr>
          </w:p>
        </w:tc>
        <w:tc>
          <w:tcPr>
            <w:tcW w:w="7088" w:type="dxa"/>
          </w:tcPr>
          <w:p>
            <w:pPr>
              <w:spacing w:after="0" w:line="240" w:lineRule="auto"/>
              <w:jc w:val="both"/>
              <w:rPr>
                <w:rFonts w:hint="default" w:ascii="Times New Roman" w:hAnsi="Times New Roman"/>
                <w:b w:val="0"/>
                <w:bCs/>
                <w:sz w:val="18"/>
                <w:szCs w:val="20"/>
              </w:rPr>
            </w:pPr>
            <w:r>
              <w:rPr>
                <w:rFonts w:ascii="Times New Roman" w:hAnsi="Times New Roman"/>
                <w:b/>
                <w:sz w:val="18"/>
                <w:szCs w:val="20"/>
                <w:lang w:val="en-US"/>
              </w:rPr>
              <w:t xml:space="preserve">Objective. </w:t>
            </w:r>
            <w:r>
              <w:rPr>
                <w:rFonts w:hint="default" w:ascii="Times New Roman" w:hAnsi="Times New Roman" w:cs="Times New Roman" w:eastAsiaTheme="minorHAnsi"/>
                <w:sz w:val="18"/>
                <w:szCs w:val="18"/>
                <w:lang w:val="fr-FR" w:eastAsia="en-US"/>
              </w:rPr>
              <w:t>To</w:t>
            </w:r>
            <w:r>
              <w:rPr>
                <w:rFonts w:hint="default" w:ascii="Times New Roman" w:hAnsi="Times New Roman" w:cs="Times New Roman" w:eastAsiaTheme="minorHAnsi"/>
                <w:sz w:val="18"/>
                <w:szCs w:val="18"/>
                <w:lang w:eastAsia="en-US"/>
              </w:rPr>
              <w:t xml:space="preserve"> determine the epidemiological, clinical and etiological characteristics of endophthalmitis.</w:t>
            </w:r>
            <w:r>
              <w:rPr>
                <w:rFonts w:hint="default" w:ascii="Times New Roman" w:hAnsi="Times New Roman" w:cs="Times New Roman" w:eastAsiaTheme="minorHAnsi"/>
                <w:sz w:val="18"/>
                <w:szCs w:val="18"/>
                <w:lang w:val="fr-FR" w:eastAsia="en-US"/>
              </w:rPr>
              <w:t xml:space="preserve"> </w:t>
            </w:r>
            <w:r>
              <w:rPr>
                <w:rFonts w:hint="default" w:ascii="Times New Roman" w:hAnsi="Times New Roman" w:cs="Times New Roman"/>
                <w:b/>
                <w:sz w:val="18"/>
                <w:szCs w:val="18"/>
                <w:lang w:val="fr-FR" w:eastAsia="en-US"/>
              </w:rPr>
              <w:t>Patients</w:t>
            </w:r>
            <w:r>
              <w:rPr>
                <w:rFonts w:hint="default" w:ascii="Times New Roman" w:hAnsi="Times New Roman" w:cs="Times New Roman" w:eastAsiaTheme="minorHAnsi"/>
                <w:b/>
                <w:sz w:val="18"/>
                <w:szCs w:val="18"/>
                <w:lang w:eastAsia="en-US"/>
              </w:rPr>
              <w:t xml:space="preserve"> and Method</w:t>
            </w:r>
            <w:r>
              <w:rPr>
                <w:rFonts w:hint="default" w:ascii="Times New Roman" w:hAnsi="Times New Roman" w:cs="Times New Roman"/>
                <w:b/>
                <w:sz w:val="18"/>
                <w:szCs w:val="18"/>
                <w:lang w:val="fr-FR" w:eastAsia="en-US"/>
              </w:rPr>
              <w:t>s</w:t>
            </w:r>
            <w:r>
              <w:rPr>
                <w:rFonts w:hint="default" w:ascii="Times New Roman" w:hAnsi="Times New Roman" w:cs="Times New Roman" w:eastAsiaTheme="minorHAnsi"/>
                <w:b/>
                <w:sz w:val="18"/>
                <w:szCs w:val="18"/>
                <w:lang w:val="fr-FR" w:eastAsia="en-US"/>
              </w:rPr>
              <w:t>.</w:t>
            </w:r>
            <w:r>
              <w:rPr>
                <w:rFonts w:hint="default" w:ascii="Times New Roman" w:hAnsi="Times New Roman" w:cs="Times New Roman" w:eastAsiaTheme="minorHAnsi"/>
                <w:sz w:val="18"/>
                <w:szCs w:val="18"/>
                <w:lang w:eastAsia="en-US"/>
              </w:rPr>
              <w:t xml:space="preserve"> </w:t>
            </w:r>
            <w:r>
              <w:rPr>
                <w:rFonts w:hint="default" w:ascii="Times New Roman" w:hAnsi="Times New Roman" w:cs="Times New Roman" w:eastAsiaTheme="minorHAnsi"/>
                <w:sz w:val="18"/>
                <w:szCs w:val="18"/>
                <w:lang w:val="fr-FR" w:eastAsia="en-US"/>
              </w:rPr>
              <w:t>I</w:t>
            </w:r>
            <w:r>
              <w:rPr>
                <w:rFonts w:hint="default" w:ascii="Times New Roman" w:hAnsi="Times New Roman" w:cs="Times New Roman" w:eastAsiaTheme="minorHAnsi"/>
                <w:sz w:val="18"/>
                <w:szCs w:val="18"/>
                <w:lang w:eastAsia="en-US"/>
              </w:rPr>
              <w:t>n this retrospective and descriptive study carried out over a period of 10 years from</w:t>
            </w:r>
            <w:r>
              <w:rPr>
                <w:rFonts w:hint="default" w:ascii="Times New Roman" w:hAnsi="Times New Roman" w:cs="Times New Roman"/>
                <w:sz w:val="18"/>
                <w:szCs w:val="18"/>
                <w:lang w:val="fr-FR" w:eastAsia="en-US"/>
              </w:rPr>
              <w:t xml:space="preserve"> </w:t>
            </w:r>
            <w:r>
              <w:rPr>
                <w:rFonts w:hint="default" w:ascii="Times New Roman" w:hAnsi="Times New Roman" w:cs="Times New Roman" w:eastAsiaTheme="minorHAnsi"/>
                <w:sz w:val="18"/>
                <w:szCs w:val="18"/>
                <w:lang w:eastAsia="en-US"/>
              </w:rPr>
              <w:t>January 2008 to</w:t>
            </w:r>
            <w:r>
              <w:rPr>
                <w:rFonts w:hint="default" w:ascii="Times New Roman" w:hAnsi="Times New Roman" w:cs="Times New Roman"/>
                <w:sz w:val="18"/>
                <w:szCs w:val="18"/>
                <w:lang w:val="fr-FR" w:eastAsia="en-US"/>
              </w:rPr>
              <w:t xml:space="preserve"> </w:t>
            </w:r>
            <w:r>
              <w:rPr>
                <w:rFonts w:hint="default" w:ascii="Times New Roman" w:hAnsi="Times New Roman" w:cs="Times New Roman" w:eastAsiaTheme="minorHAnsi"/>
                <w:sz w:val="18"/>
                <w:szCs w:val="18"/>
                <w:lang w:eastAsia="en-US"/>
              </w:rPr>
              <w:t>December 2017 at HIARAY, we included all records of patients followed for clinically proven endophthalmitis, who underwent a comprehensive ophthalmological examination with or without paramedical tests. The variables studied were epidemiological (age, sex), clinical (reason and time for consultation, history, visual acuity, clinical signs), para-clinical (imaging) and etiological (contamination mode, biology). IBM-SPSS 22.0 software allowed data analysis and the chi-square test used with p &lt;0.05 significant.</w:t>
            </w:r>
            <w:r>
              <w:rPr>
                <w:rFonts w:hint="default" w:ascii="Times New Roman" w:hAnsi="Times New Roman" w:cs="Times New Roman" w:eastAsiaTheme="minorHAnsi"/>
                <w:sz w:val="18"/>
                <w:szCs w:val="18"/>
                <w:lang w:val="fr-FR" w:eastAsia="en-US"/>
              </w:rPr>
              <w:t xml:space="preserve"> </w:t>
            </w:r>
            <w:r>
              <w:rPr>
                <w:rFonts w:hint="default" w:ascii="Times New Roman" w:hAnsi="Times New Roman" w:cs="Times New Roman" w:eastAsiaTheme="minorHAnsi"/>
                <w:b/>
                <w:sz w:val="18"/>
                <w:szCs w:val="18"/>
                <w:lang w:eastAsia="en-US"/>
              </w:rPr>
              <w:t>Results</w:t>
            </w:r>
            <w:r>
              <w:rPr>
                <w:rFonts w:hint="default" w:ascii="Times New Roman" w:hAnsi="Times New Roman" w:cs="Times New Roman"/>
                <w:b/>
                <w:sz w:val="18"/>
                <w:szCs w:val="18"/>
                <w:lang w:val="fr-FR" w:eastAsia="en-US"/>
              </w:rPr>
              <w:t>.</w:t>
            </w:r>
            <w:r>
              <w:rPr>
                <w:rFonts w:hint="default" w:ascii="Times New Roman" w:hAnsi="Times New Roman" w:cs="Times New Roman" w:eastAsiaTheme="minorHAnsi"/>
                <w:sz w:val="18"/>
                <w:szCs w:val="18"/>
                <w:lang w:eastAsia="en-US"/>
              </w:rPr>
              <w:t xml:space="preserve"> </w:t>
            </w:r>
            <w:r>
              <w:rPr>
                <w:rFonts w:hint="default" w:ascii="Times New Roman" w:hAnsi="Times New Roman" w:cs="Times New Roman" w:eastAsiaTheme="minorHAnsi"/>
                <w:sz w:val="18"/>
                <w:szCs w:val="18"/>
                <w:lang w:val="fr-FR" w:eastAsia="en-US"/>
              </w:rPr>
              <w:t>T</w:t>
            </w:r>
            <w:r>
              <w:rPr>
                <w:rFonts w:hint="default" w:ascii="Times New Roman" w:hAnsi="Times New Roman" w:cs="Times New Roman" w:eastAsiaTheme="minorHAnsi"/>
                <w:sz w:val="18"/>
                <w:szCs w:val="18"/>
                <w:lang w:eastAsia="en-US"/>
              </w:rPr>
              <w:t>hirty out of 18,255 patients files were retained, or 0.16%. The average age was 47.86 ± 21.66 years with a male predominance. The endophthalmitis was unilateral in 100% of cases and 70% had consulted between 3 and 30 days. The functional signs were pain in 80% of cases and reduced visual acuity in 100%. Clinical examination revealed conjunctival hyperemia in 93.33% of cases, corneal abscess in 50% and hypopion in 66.66%. Anterior hyalite with 3 crosses was observed in 6.66%. The leading aetiology was trauma found in 50% of cases out of which 30% of vegetal origin. Visual impairment was recorded in 93.40% of cases while blindness was total in 36.70%.</w:t>
            </w:r>
            <w:r>
              <w:rPr>
                <w:rFonts w:hint="default" w:ascii="Times New Roman" w:hAnsi="Times New Roman" w:cs="Times New Roman" w:eastAsiaTheme="minorHAnsi"/>
                <w:sz w:val="18"/>
                <w:szCs w:val="18"/>
                <w:lang w:val="fr-FR" w:eastAsia="en-US"/>
              </w:rPr>
              <w:t xml:space="preserve"> </w:t>
            </w:r>
            <w:r>
              <w:rPr>
                <w:rFonts w:hint="default" w:ascii="Times New Roman" w:hAnsi="Times New Roman" w:cs="Times New Roman" w:eastAsiaTheme="minorHAnsi"/>
                <w:b/>
                <w:sz w:val="18"/>
                <w:szCs w:val="18"/>
                <w:lang w:eastAsia="en-US"/>
              </w:rPr>
              <w:t>Conclusion</w:t>
            </w:r>
            <w:r>
              <w:rPr>
                <w:rFonts w:hint="default" w:ascii="Times New Roman" w:hAnsi="Times New Roman" w:cs="Times New Roman" w:eastAsiaTheme="minorHAnsi"/>
                <w:b/>
                <w:sz w:val="18"/>
                <w:szCs w:val="18"/>
                <w:lang w:val="fr-FR" w:eastAsia="en-US"/>
              </w:rPr>
              <w:t xml:space="preserve">. </w:t>
            </w:r>
            <w:r>
              <w:rPr>
                <w:rFonts w:hint="default" w:ascii="Times New Roman" w:hAnsi="Times New Roman" w:cs="Times New Roman" w:eastAsiaTheme="minorHAnsi"/>
                <w:b w:val="0"/>
                <w:bCs/>
                <w:sz w:val="18"/>
                <w:szCs w:val="18"/>
                <w:lang w:val="fr-FR" w:eastAsia="en-US"/>
              </w:rPr>
              <w:t>E</w:t>
            </w:r>
            <w:r>
              <w:rPr>
                <w:rFonts w:hint="default" w:ascii="Times New Roman" w:hAnsi="Times New Roman" w:cs="Times New Roman" w:eastAsiaTheme="minorHAnsi"/>
                <w:sz w:val="18"/>
                <w:szCs w:val="18"/>
                <w:lang w:eastAsia="en-US"/>
              </w:rPr>
              <w:t>ndophthalmitis is rare, often unilateral and trauma being its main etiology in our environment. It has a very derogatory prognosis.</w:t>
            </w:r>
          </w:p>
        </w:tc>
      </w:tr>
    </w:tbl>
    <w:p>
      <w:pPr>
        <w:spacing w:after="0" w:line="240" w:lineRule="auto"/>
        <w:jc w:val="both"/>
        <w:rPr>
          <w:rFonts w:ascii="Times New Roman" w:hAnsi="Times New Roman"/>
          <w:b/>
          <w:sz w:val="20"/>
          <w:szCs w:val="20"/>
          <w:u w:val="single"/>
        </w:rPr>
      </w:pPr>
    </w:p>
    <w:p>
      <w:pPr>
        <w:spacing w:after="0" w:line="240" w:lineRule="auto"/>
        <w:jc w:val="both"/>
        <w:rPr>
          <w:rFonts w:ascii="Times New Roman" w:hAnsi="Times New Roman"/>
          <w:b/>
          <w:sz w:val="20"/>
          <w:szCs w:val="20"/>
          <w:u w:val="single"/>
        </w:rPr>
        <w:sectPr>
          <w:headerReference r:id="rId3" w:type="default"/>
          <w:footerReference r:id="rId4" w:type="default"/>
          <w:pgSz w:w="11850" w:h="16783"/>
          <w:pgMar w:top="1134" w:right="850" w:bottom="1417" w:left="1134" w:header="708" w:footer="708" w:gutter="0"/>
          <w:pgNumType w:fmt="decimal"/>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r>
        <w:rPr>
          <w:rFonts w:ascii="Times New Roman" w:hAnsi="Times New Roman"/>
          <w:b/>
          <w:sz w:val="20"/>
          <w:szCs w:val="20"/>
        </w:rPr>
        <w:t>INTRODUCTION</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color w:val="000000"/>
          <w:sz w:val="20"/>
          <w:szCs w:val="20"/>
        </w:rPr>
        <w:t>L'endophtalmie peut être définie comme une réponse inflammatoire à une invasion bactérienne, fongique ou parasitaire de l’œil survenue par voie endogène hématogène ou par voie exogène suite à une ouverture du globe après une chirurgie oculaire réglée, un traumatisme ou encore par contiguïté [</w:t>
      </w:r>
      <w:r>
        <w:rPr>
          <w:rFonts w:hint="default" w:ascii="Times New Roman" w:hAnsi="Times New Roman" w:cs="Times New Roman"/>
          <w:sz w:val="20"/>
          <w:szCs w:val="20"/>
        </w:rPr>
        <w:t>1-6</w:t>
      </w:r>
      <w:r>
        <w:rPr>
          <w:rFonts w:hint="default" w:ascii="Times New Roman" w:hAnsi="Times New Roman" w:cs="Times New Roman"/>
          <w:color w:val="000000"/>
          <w:sz w:val="20"/>
          <w:szCs w:val="20"/>
        </w:rPr>
        <w:t>]. Elle est une complication infectieuse révélée en aiguë, subaiguë ou chronique grave de l’atteinte oculaire pouvant conduire à la cécité ou à la létalité [</w:t>
      </w:r>
      <w:r>
        <w:rPr>
          <w:rFonts w:hint="default" w:ascii="Times New Roman" w:hAnsi="Times New Roman" w:cs="Times New Roman"/>
          <w:sz w:val="20"/>
          <w:szCs w:val="20"/>
        </w:rPr>
        <w:t>4</w:t>
      </w:r>
      <w:r>
        <w:rPr>
          <w:rFonts w:hint="default" w:ascii="Times New Roman" w:hAnsi="Times New Roman" w:cs="Times New Roman"/>
          <w:bCs/>
          <w:iCs/>
          <w:sz w:val="20"/>
          <w:szCs w:val="20"/>
        </w:rPr>
        <w:t>,6-8</w:t>
      </w:r>
      <w:r>
        <w:rPr>
          <w:rFonts w:hint="default" w:ascii="Times New Roman" w:hAnsi="Times New Roman" w:cs="Times New Roman"/>
          <w:color w:val="000000"/>
          <w:sz w:val="20"/>
          <w:szCs w:val="20"/>
        </w:rPr>
        <w:t xml:space="preserve">]. </w:t>
      </w:r>
      <w:r>
        <w:rPr>
          <w:rFonts w:hint="default" w:ascii="Times New Roman" w:hAnsi="Times New Roman" w:cs="Times New Roman"/>
          <w:sz w:val="20"/>
          <w:szCs w:val="20"/>
        </w:rPr>
        <w:t>Pour de nombreux auteurs, il faudrait retrouver un germe même si 25 à 30% des prélèvements peuvent se révéler négatifs [4] et pour d’autres, une atteinte histopathologique avec présence de polynucléaires altérés dans les tissus oculaires serait suffisante [9].</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Son incidence bien que variable, oscille pour la chirurgie de la cataracte entre 0,35 et 0,2% avec une diminution ces dernières années à 0,01% en occident [1,6,10,11]. En Afrique au sud du Sahara, Braimah et al trouvaient une incidence post chirurgicale de 0,58% au Ghana en 2017 [12].</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L’endophtalmie endogène représente 2 à 8% [4].</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L’endophtalmie est une infection intra</w:t>
      </w:r>
      <w:r>
        <w:rPr>
          <w:rFonts w:hint="default" w:ascii="Times New Roman" w:hAnsi="Times New Roman" w:cs="Times New Roman"/>
          <w:sz w:val="20"/>
          <w:szCs w:val="20"/>
          <w:lang w:val="fr-FR"/>
        </w:rPr>
        <w:t>oculaire</w:t>
      </w:r>
      <w:r>
        <w:rPr>
          <w:rFonts w:hint="default" w:ascii="Times New Roman" w:hAnsi="Times New Roman" w:cs="Times New Roman"/>
          <w:sz w:val="20"/>
          <w:szCs w:val="20"/>
        </w:rPr>
        <w:t xml:space="preserve"> grave qui met en jeu le pronostic fonctionnel, et même anatomique oculaire d’un malade et peut menacer sa vie. Ainsi, le but de cette étude descriptive était de déterminer  les caractéristique</w:t>
      </w:r>
      <w:r>
        <w:rPr>
          <w:rFonts w:hint="default" w:ascii="Times New Roman" w:hAnsi="Times New Roman" w:cs="Times New Roman"/>
          <w:sz w:val="20"/>
          <w:szCs w:val="20"/>
          <w:lang w:val="fr-FR"/>
        </w:rPr>
        <w:t>s</w:t>
      </w:r>
      <w:r>
        <w:rPr>
          <w:rFonts w:hint="default" w:ascii="Times New Roman" w:hAnsi="Times New Roman" w:cs="Times New Roman"/>
          <w:sz w:val="20"/>
          <w:szCs w:val="20"/>
        </w:rPr>
        <w:t xml:space="preserve"> cliniques et étiologiques de l’endophtalmie à l’HIARA de Yaoundé au Cameroun.</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r>
        <w:rPr>
          <w:rFonts w:ascii="Times New Roman" w:hAnsi="Times New Roman"/>
          <w:b/>
          <w:sz w:val="20"/>
          <w:szCs w:val="20"/>
        </w:rPr>
        <w:t>P</w:t>
      </w:r>
      <w:r>
        <w:rPr>
          <w:rFonts w:hint="default" w:ascii="Times New Roman" w:hAnsi="Times New Roman"/>
          <w:b/>
          <w:sz w:val="20"/>
          <w:szCs w:val="20"/>
          <w:lang w:val="fr-FR"/>
        </w:rPr>
        <w:t>ATIENTS</w:t>
      </w:r>
      <w:r>
        <w:rPr>
          <w:rFonts w:ascii="Times New Roman" w:hAnsi="Times New Roman"/>
          <w:b/>
          <w:sz w:val="20"/>
          <w:szCs w:val="20"/>
        </w:rPr>
        <w:t xml:space="preserve"> ET MÉTHODES</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Nous avons mené une étude </w:t>
      </w:r>
      <w:r>
        <w:rPr>
          <w:rFonts w:hint="default" w:ascii="Times New Roman" w:hAnsi="Times New Roman" w:cs="Times New Roman"/>
          <w:sz w:val="20"/>
          <w:szCs w:val="20"/>
          <w:lang w:val="fr-FR"/>
        </w:rPr>
        <w:t xml:space="preserve">transversale </w:t>
      </w:r>
      <w:r>
        <w:rPr>
          <w:rFonts w:hint="default" w:ascii="Times New Roman" w:hAnsi="Times New Roman" w:cs="Times New Roman"/>
          <w:sz w:val="20"/>
          <w:szCs w:val="20"/>
        </w:rPr>
        <w:t xml:space="preserve">rétrospective dans le service d’ophtalmologie de l’HIARAY sur </w:t>
      </w:r>
      <w:r>
        <w:rPr>
          <w:rFonts w:hint="default" w:ascii="Times New Roman" w:hAnsi="Times New Roman" w:cs="Times New Roman"/>
          <w:sz w:val="20"/>
          <w:szCs w:val="20"/>
          <w:lang w:val="fr-FR"/>
        </w:rPr>
        <w:t>une période de</w:t>
      </w:r>
      <w:r>
        <w:rPr>
          <w:rFonts w:hint="default" w:ascii="Times New Roman" w:hAnsi="Times New Roman" w:cs="Times New Roman"/>
          <w:sz w:val="20"/>
          <w:szCs w:val="20"/>
        </w:rPr>
        <w:t xml:space="preserve">10 ans </w:t>
      </w:r>
      <w:r>
        <w:rPr>
          <w:rFonts w:hint="default" w:ascii="Times New Roman" w:hAnsi="Times New Roman" w:cs="Times New Roman"/>
          <w:sz w:val="20"/>
          <w:szCs w:val="20"/>
          <w:lang w:val="fr-FR"/>
        </w:rPr>
        <w:t>(</w:t>
      </w:r>
      <w:r>
        <w:rPr>
          <w:rFonts w:hint="default" w:ascii="Times New Roman" w:hAnsi="Times New Roman" w:cs="Times New Roman"/>
          <w:sz w:val="20"/>
          <w:szCs w:val="20"/>
        </w:rPr>
        <w:t>Janvier 2008 à Décembre 2017</w:t>
      </w:r>
      <w:r>
        <w:rPr>
          <w:rFonts w:hint="default" w:ascii="Times New Roman" w:hAnsi="Times New Roman" w:cs="Times New Roman"/>
          <w:sz w:val="20"/>
          <w:szCs w:val="20"/>
          <w:lang w:val="fr-FR"/>
        </w:rPr>
        <w:t>)</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val="fr-FR"/>
        </w:rPr>
        <w:t xml:space="preserve">Nous avons </w:t>
      </w:r>
      <w:r>
        <w:rPr>
          <w:rFonts w:hint="default" w:ascii="Times New Roman" w:hAnsi="Times New Roman" w:cs="Times New Roman"/>
          <w:sz w:val="20"/>
          <w:szCs w:val="20"/>
        </w:rPr>
        <w:t>inclus</w:t>
      </w:r>
      <w:r>
        <w:rPr>
          <w:rFonts w:hint="default" w:ascii="Times New Roman" w:hAnsi="Times New Roman" w:cs="Times New Roman"/>
          <w:sz w:val="20"/>
          <w:szCs w:val="20"/>
          <w:lang w:val="fr-FR"/>
        </w:rPr>
        <w:t xml:space="preserve"> dans l’étude</w:t>
      </w:r>
      <w:r>
        <w:rPr>
          <w:rFonts w:hint="default" w:ascii="Times New Roman" w:hAnsi="Times New Roman" w:cs="Times New Roman"/>
          <w:sz w:val="20"/>
          <w:szCs w:val="20"/>
        </w:rPr>
        <w:t xml:space="preserve">, tout dossier de patient suivi pour endophtalmie cliniquement avérée comprenant une mesure d’acuité visuelle, l’examen des annexes et du globe oculaire, une mesure de la pression intra oculaire si la cornée le permettait. Le cas échéant, </w:t>
      </w:r>
      <w:r>
        <w:rPr>
          <w:rFonts w:hint="default" w:ascii="Times New Roman" w:hAnsi="Times New Roman" w:cs="Times New Roman"/>
          <w:sz w:val="20"/>
          <w:szCs w:val="20"/>
          <w:lang w:val="fr-FR"/>
        </w:rPr>
        <w:t xml:space="preserve">il </w:t>
      </w:r>
      <w:r>
        <w:rPr>
          <w:rFonts w:hint="default" w:ascii="Times New Roman" w:hAnsi="Times New Roman" w:cs="Times New Roman"/>
          <w:sz w:val="20"/>
          <w:szCs w:val="20"/>
        </w:rPr>
        <w:t>était réalisé une ponction à l’aiguille de 25 gauges de l’humeur aqueuse en chambre antérieure ou de 27 gauges pour le vitré, pour une analyse cytobactériologique. Les dossiers incomplets étaient exclus.</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rPr>
        <w:t xml:space="preserve">Les variables étudiées étaient </w:t>
      </w:r>
      <w:r>
        <w:rPr>
          <w:rFonts w:hint="default" w:ascii="Times New Roman" w:hAnsi="Times New Roman" w:cs="Times New Roman"/>
          <w:sz w:val="20"/>
          <w:szCs w:val="20"/>
          <w:lang w:val="fr-FR"/>
        </w:rPr>
        <w:t>d’ordre:</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240" w:lineRule="auto"/>
        <w:ind w:left="420" w:leftChars="0" w:hanging="42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val="fr-FR"/>
        </w:rPr>
        <w:t xml:space="preserve">démographique : </w:t>
      </w:r>
      <w:r>
        <w:rPr>
          <w:rFonts w:hint="default" w:ascii="Times New Roman" w:hAnsi="Times New Roman" w:cs="Times New Roman"/>
          <w:sz w:val="20"/>
          <w:szCs w:val="20"/>
        </w:rPr>
        <w:t>âge</w:t>
      </w:r>
      <w:r>
        <w:rPr>
          <w:rFonts w:hint="default" w:ascii="Times New Roman" w:hAnsi="Times New Roman" w:cs="Times New Roman"/>
          <w:sz w:val="20"/>
          <w:szCs w:val="20"/>
          <w:lang w:val="fr-FR"/>
        </w:rPr>
        <w:t xml:space="preserve"> et</w:t>
      </w:r>
      <w:r>
        <w:rPr>
          <w:rFonts w:hint="default" w:ascii="Times New Roman" w:hAnsi="Times New Roman" w:cs="Times New Roman"/>
          <w:sz w:val="20"/>
          <w:szCs w:val="20"/>
        </w:rPr>
        <w:t xml:space="preserve"> sexe,</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240" w:lineRule="auto"/>
        <w:ind w:left="420" w:leftChars="0" w:hanging="420" w:firstLineChars="0"/>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c</w:t>
      </w:r>
      <w:r>
        <w:rPr>
          <w:rFonts w:hint="default" w:ascii="Times New Roman" w:hAnsi="Times New Roman" w:cs="Times New Roman"/>
          <w:sz w:val="20"/>
          <w:szCs w:val="20"/>
        </w:rPr>
        <w:t>linique</w:t>
      </w:r>
      <w:r>
        <w:rPr>
          <w:rFonts w:hint="default" w:ascii="Times New Roman" w:hAnsi="Times New Roman" w:cs="Times New Roman"/>
          <w:sz w:val="20"/>
          <w:szCs w:val="20"/>
          <w:lang w:val="fr-FR"/>
        </w:rPr>
        <w:t xml:space="preserve"> : </w:t>
      </w:r>
      <w:r>
        <w:rPr>
          <w:rFonts w:hint="default" w:ascii="Times New Roman" w:hAnsi="Times New Roman" w:cs="Times New Roman"/>
          <w:sz w:val="20"/>
          <w:szCs w:val="20"/>
        </w:rPr>
        <w:t>motif de consultation,</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délais</w:t>
      </w:r>
      <w:r>
        <w:rPr>
          <w:rFonts w:hint="default" w:ascii="Times New Roman" w:hAnsi="Times New Roman" w:cs="Times New Roman"/>
          <w:sz w:val="20"/>
          <w:szCs w:val="20"/>
          <w:lang w:val="fr-FR"/>
        </w:rPr>
        <w:t xml:space="preserve"> de consultation, </w:t>
      </w:r>
      <w:r>
        <w:rPr>
          <w:rFonts w:hint="default" w:ascii="Times New Roman" w:hAnsi="Times New Roman" w:cs="Times New Roman"/>
          <w:sz w:val="20"/>
          <w:szCs w:val="20"/>
        </w:rPr>
        <w:t>antécédents, acuité visuelle, signes cliniques,</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240" w:lineRule="auto"/>
        <w:ind w:left="420" w:leftChars="0" w:hanging="420" w:firstLineChars="0"/>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rPr>
        <w:t xml:space="preserve">para cliniques </w:t>
      </w:r>
      <w:r>
        <w:rPr>
          <w:rFonts w:hint="default" w:ascii="Times New Roman" w:hAnsi="Times New Roman" w:cs="Times New Roman"/>
          <w:sz w:val="20"/>
          <w:szCs w:val="20"/>
          <w:lang w:val="fr-FR"/>
        </w:rPr>
        <w:t>: échographie oculaire,</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240" w:lineRule="auto"/>
        <w:ind w:left="420" w:leftChars="0" w:hanging="420" w:firstLineChars="0"/>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rPr>
        <w:t xml:space="preserve">étiologiques </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mode de contamination, biologie.</w:t>
      </w:r>
    </w:p>
    <w:p>
      <w:pPr>
        <w:keepNext w:val="0"/>
        <w:keepLines w:val="0"/>
        <w:pageBreakBefore w:val="0"/>
        <w:widowControl/>
        <w:numPr>
          <w:numId w:val="0"/>
        </w:numPr>
        <w:kinsoku/>
        <w:wordWrap/>
        <w:overflowPunct/>
        <w:topLinePunct w:val="0"/>
        <w:autoSpaceDE/>
        <w:autoSpaceDN/>
        <w:bidi w:val="0"/>
        <w:adjustRightInd/>
        <w:snapToGrid/>
        <w:spacing w:beforeAutospacing="0" w:after="0" w:afterAutospacing="0" w:line="240" w:lineRule="auto"/>
        <w:ind w:leftChars="0"/>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rPr>
        <w:t>Les critères de jugement étaient les signes cliniques (Hyperhémie conjonctivale, tyndall de chambre antérieure, hypopion, iritis, tyndall vitréen antérieur, abcès de cornée), échographiques ou des éléments étiologiques (mode de contamination, microbiologie)</w:t>
      </w:r>
      <w:r>
        <w:rPr>
          <w:rFonts w:hint="default" w:ascii="Times New Roman" w:hAnsi="Times New Roman" w:cs="Times New Roman"/>
          <w:sz w:val="20"/>
          <w:szCs w:val="20"/>
          <w:lang w:val="fr-FR"/>
        </w:rPr>
        <w:t>.</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L’analyse des données a été réalisée avec le logiciel IBM-SPSS 22.0, le test statistique de khi 2 utilisé et « p » significatif si inférieur à 0,05.</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Cette étude conforme à la déclaration d’Helsinki a été approuvée par le comité éthique de l’hôpital.</w:t>
      </w:r>
    </w:p>
    <w:p>
      <w:pPr>
        <w:keepNext w:val="0"/>
        <w:keepLines w:val="0"/>
        <w:pageBreakBefore w:val="0"/>
        <w:widowControl/>
        <w:kinsoku/>
        <w:wordWrap/>
        <w:overflowPunct/>
        <w:topLinePunct w:val="0"/>
        <w:autoSpaceDE/>
        <w:autoSpaceDN/>
        <w:bidi w:val="0"/>
        <w:adjustRightInd/>
        <w:snapToGrid/>
        <w:spacing w:before="120" w:beforeAutospacing="0" w:after="40" w:afterAutospacing="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RÉSULTATS</w:t>
      </w:r>
    </w:p>
    <w:p>
      <w:pPr>
        <w:pStyle w:val="10"/>
        <w:keepNext w:val="0"/>
        <w:keepLines w:val="0"/>
        <w:pageBreakBefore w:val="0"/>
        <w:widowControl/>
        <w:numPr>
          <w:ilvl w:val="0"/>
          <w:numId w:val="0"/>
        </w:numPr>
        <w:kinsoku/>
        <w:wordWrap/>
        <w:overflowPunct/>
        <w:topLinePunct w:val="0"/>
        <w:autoSpaceDE/>
        <w:autoSpaceDN/>
        <w:bidi w:val="0"/>
        <w:adjustRightInd/>
        <w:snapToGrid/>
        <w:spacing w:before="60" w:beforeAutospacing="0" w:after="2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b/>
          <w:bCs/>
          <w:sz w:val="20"/>
          <w:szCs w:val="20"/>
        </w:rPr>
        <w:t>Caractéristiques épidémiologiques</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Fréquence</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val="fr-FR"/>
        </w:rPr>
        <w:t>30</w:t>
      </w:r>
      <w:r>
        <w:rPr>
          <w:rFonts w:hint="default" w:ascii="Times New Roman" w:hAnsi="Times New Roman" w:cs="Times New Roman"/>
          <w:sz w:val="20"/>
          <w:szCs w:val="20"/>
        </w:rPr>
        <w:t xml:space="preserve"> sur 18255 dossiers présentaient une endophtalmie cliniquement avérée, soit une fréquence de </w:t>
      </w:r>
      <w:r>
        <w:rPr>
          <w:rFonts w:hint="default" w:ascii="Times New Roman" w:hAnsi="Times New Roman" w:cs="Times New Roman"/>
          <w:bCs/>
          <w:sz w:val="20"/>
          <w:szCs w:val="20"/>
        </w:rPr>
        <w:t>0,16%</w:t>
      </w:r>
      <w:r>
        <w:rPr>
          <w:rFonts w:hint="default" w:ascii="Times New Roman" w:hAnsi="Times New Roman" w:cs="Times New Roman"/>
          <w:sz w:val="20"/>
          <w:szCs w:val="20"/>
        </w:rPr>
        <w:t>. L’endophtalmie post chirurgie de la cataracte représentait 0,39% soient 4 yeux</w:t>
      </w:r>
      <w:r>
        <w:rPr>
          <w:rFonts w:hint="default" w:ascii="Times New Roman" w:hAnsi="Times New Roman" w:cs="Times New Roman"/>
          <w:b/>
          <w:bCs/>
          <w:sz w:val="20"/>
          <w:szCs w:val="20"/>
        </w:rPr>
        <w:t xml:space="preserve"> </w:t>
      </w:r>
      <w:r>
        <w:rPr>
          <w:rFonts w:hint="default" w:ascii="Times New Roman" w:hAnsi="Times New Roman" w:cs="Times New Roman"/>
          <w:bCs/>
          <w:sz w:val="20"/>
          <w:szCs w:val="20"/>
        </w:rPr>
        <w:t>infectés</w:t>
      </w:r>
      <w:r>
        <w:rPr>
          <w:rFonts w:hint="default" w:ascii="Times New Roman" w:hAnsi="Times New Roman" w:cs="Times New Roman"/>
          <w:b/>
          <w:bCs/>
          <w:sz w:val="20"/>
          <w:szCs w:val="20"/>
        </w:rPr>
        <w:t xml:space="preserve"> </w:t>
      </w:r>
      <w:r>
        <w:rPr>
          <w:rFonts w:hint="default" w:ascii="Times New Roman" w:hAnsi="Times New Roman" w:cs="Times New Roman"/>
          <w:sz w:val="20"/>
          <w:szCs w:val="20"/>
        </w:rPr>
        <w:t>sur 1014 chirurgies de cataracte effectuées pendant cette période.</w:t>
      </w:r>
    </w:p>
    <w:p>
      <w:pPr>
        <w:pStyle w:val="10"/>
        <w:keepNext w:val="0"/>
        <w:keepLines w:val="0"/>
        <w:pageBreakBefore w:val="0"/>
        <w:widowControl/>
        <w:numPr>
          <w:ilvl w:val="0"/>
          <w:numId w:val="4"/>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Sexe et Âge</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sex ratio était de 1,5 avec 18 hommes et 12 femmes.</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L’âge moyen des patients était de 47,86 ± 21,66 ans (6 - 81 ans). Trois avaient moins de 20 ans, 6 étaient entre 20 et 40 et 21 avaient plus de 40.</w:t>
      </w:r>
    </w:p>
    <w:p>
      <w:pPr>
        <w:pStyle w:val="10"/>
        <w:keepNext w:val="0"/>
        <w:keepLines w:val="0"/>
        <w:pageBreakBefore w:val="0"/>
        <w:widowControl/>
        <w:numPr>
          <w:ilvl w:val="0"/>
          <w:numId w:val="0"/>
        </w:numPr>
        <w:kinsoku/>
        <w:wordWrap/>
        <w:overflowPunct/>
        <w:topLinePunct w:val="0"/>
        <w:autoSpaceDE/>
        <w:autoSpaceDN/>
        <w:bidi w:val="0"/>
        <w:adjustRightInd/>
        <w:snapToGrid/>
        <w:spacing w:before="60" w:beforeAutospacing="0" w:after="20" w:afterAutospacing="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Caractéristiques cliniques</w:t>
      </w:r>
    </w:p>
    <w:p>
      <w:pPr>
        <w:pStyle w:val="10"/>
        <w:keepNext w:val="0"/>
        <w:keepLines w:val="0"/>
        <w:pageBreakBefore w:val="0"/>
        <w:widowControl/>
        <w:numPr>
          <w:ilvl w:val="0"/>
          <w:numId w:val="4"/>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Motifs de consultation</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Cs/>
          <w:sz w:val="20"/>
          <w:szCs w:val="20"/>
        </w:rPr>
      </w:pPr>
      <w:r>
        <w:rPr>
          <w:rFonts w:hint="default" w:ascii="Times New Roman" w:hAnsi="Times New Roman" w:cs="Times New Roman"/>
          <w:bCs/>
          <w:sz w:val="20"/>
          <w:szCs w:val="20"/>
        </w:rPr>
        <w:t xml:space="preserve">Le tableau I révèle qu’un œil pouvait présenter un ou plusieurs signes et ou symptômes comme motif de consultation, dont le plus fréquent était </w:t>
      </w:r>
      <w:r>
        <w:rPr>
          <w:rFonts w:hint="default" w:ascii="Times New Roman" w:hAnsi="Times New Roman" w:cs="Times New Roman"/>
          <w:bCs/>
          <w:sz w:val="20"/>
          <w:szCs w:val="20"/>
          <w:lang w:val="fr-FR"/>
        </w:rPr>
        <w:t xml:space="preserve">la baisse </w:t>
      </w:r>
      <w:r>
        <w:rPr>
          <w:rFonts w:hint="default" w:ascii="Times New Roman" w:hAnsi="Times New Roman" w:cs="Times New Roman"/>
          <w:bCs/>
          <w:sz w:val="20"/>
          <w:szCs w:val="20"/>
        </w:rPr>
        <w:t>l’acuité visuelle dans les 30 yeux.</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Cs/>
          <w:sz w:val="20"/>
          <w:szCs w:val="20"/>
        </w:rPr>
      </w:pPr>
    </w:p>
    <w:tbl>
      <w:tblPr>
        <w:tblStyle w:val="9"/>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68"/>
        <w:gridCol w:w="1126"/>
        <w:gridCol w:w="942"/>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tcBorders>
              <w:top w:val="single" w:color="4F81BD" w:sz="8" w:space="0"/>
              <w:left w:val="nil"/>
              <w:bottom w:val="single" w:color="4F81BD" w:sz="8" w:space="0"/>
              <w:right w:val="nil"/>
            </w:tcBorders>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b/>
                <w:bCs/>
                <w:color w:val="000000"/>
                <w:sz w:val="18"/>
                <w:szCs w:val="18"/>
              </w:rPr>
            </w:pPr>
            <w:r>
              <w:rPr>
                <w:rFonts w:hint="default" w:ascii="Times New Roman" w:hAnsi="Times New Roman" w:cs="Times New Roman"/>
                <w:b/>
                <w:color w:val="000000"/>
                <w:sz w:val="18"/>
                <w:szCs w:val="18"/>
              </w:rPr>
              <w:t>Tableau I</w:t>
            </w:r>
            <w:r>
              <w:rPr>
                <w:rFonts w:hint="default" w:ascii="Times New Roman" w:hAnsi="Times New Roman" w:cs="Times New Roman"/>
                <w:b/>
                <w:color w:val="000000"/>
                <w:sz w:val="18"/>
                <w:szCs w:val="18"/>
                <w:lang w:val="fr-FR"/>
              </w:rPr>
              <w:t xml:space="preserve"> </w:t>
            </w:r>
            <w:r>
              <w:rPr>
                <w:rFonts w:hint="default" w:ascii="Times New Roman" w:hAnsi="Times New Roman" w:cs="Times New Roman"/>
                <w:b/>
                <w:color w:val="000000"/>
                <w:sz w:val="18"/>
                <w:szCs w:val="18"/>
              </w:rPr>
              <w:t>:</w:t>
            </w:r>
            <w:r>
              <w:rPr>
                <w:rFonts w:hint="default" w:ascii="Times New Roman" w:hAnsi="Times New Roman" w:cs="Times New Roman"/>
                <w:b/>
                <w:bCs w:val="0"/>
                <w:color w:val="000000"/>
                <w:sz w:val="18"/>
                <w:szCs w:val="18"/>
              </w:rPr>
              <w:t xml:space="preserve"> </w:t>
            </w:r>
            <w:r>
              <w:rPr>
                <w:rFonts w:hint="default" w:ascii="Times New Roman" w:hAnsi="Times New Roman" w:cs="Times New Roman"/>
                <w:b/>
                <w:bCs w:val="0"/>
                <w:color w:val="000000"/>
                <w:sz w:val="18"/>
                <w:szCs w:val="18"/>
                <w:lang w:val="fr-FR"/>
              </w:rPr>
              <w:t>R</w:t>
            </w:r>
            <w:r>
              <w:rPr>
                <w:rFonts w:hint="default" w:ascii="Times New Roman" w:hAnsi="Times New Roman" w:cs="Times New Roman"/>
                <w:b/>
                <w:bCs w:val="0"/>
                <w:color w:val="000000"/>
                <w:sz w:val="18"/>
                <w:szCs w:val="18"/>
              </w:rPr>
              <w:t>épartition des yeux selon le motif de consultation</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6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b/>
                <w:bCs/>
                <w:color w:val="000000"/>
                <w:sz w:val="18"/>
                <w:szCs w:val="18"/>
              </w:rPr>
            </w:pPr>
            <w:r>
              <w:rPr>
                <w:rFonts w:hint="default" w:ascii="Times New Roman" w:hAnsi="Times New Roman" w:cs="Times New Roman"/>
                <w:b/>
                <w:bCs w:val="0"/>
                <w:color w:val="000000"/>
                <w:sz w:val="18"/>
                <w:szCs w:val="18"/>
              </w:rPr>
              <w:t xml:space="preserve">Signes et symptômes </w:t>
            </w:r>
          </w:p>
        </w:tc>
        <w:tc>
          <w:tcPr>
            <w:tcW w:w="112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b/>
                <w:color w:val="000000"/>
                <w:sz w:val="18"/>
                <w:szCs w:val="18"/>
              </w:rPr>
            </w:pPr>
            <w:r>
              <w:rPr>
                <w:rFonts w:hint="default" w:ascii="Times New Roman" w:hAnsi="Times New Roman" w:cs="Times New Roman"/>
                <w:b/>
                <w:bCs w:val="0"/>
                <w:color w:val="000000"/>
                <w:sz w:val="18"/>
                <w:szCs w:val="18"/>
                <w:lang w:val="fr-FR"/>
              </w:rPr>
              <w:t xml:space="preserve">n </w:t>
            </w:r>
            <w:r>
              <w:rPr>
                <w:rFonts w:hint="default" w:ascii="Times New Roman" w:hAnsi="Times New Roman" w:cs="Times New Roman"/>
                <w:b/>
                <w:bCs w:val="0"/>
                <w:color w:val="000000"/>
                <w:sz w:val="18"/>
                <w:szCs w:val="18"/>
              </w:rPr>
              <w:t>(yeux)</w:t>
            </w:r>
          </w:p>
        </w:tc>
        <w:tc>
          <w:tcPr>
            <w:tcW w:w="94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b/>
                <w:color w:val="000000"/>
                <w:sz w:val="18"/>
                <w:szCs w:val="18"/>
              </w:rPr>
            </w:pPr>
            <w:r>
              <w:rPr>
                <w:rFonts w:hint="default" w:ascii="Times New Roman" w:hAnsi="Times New Roman" w:cs="Times New Roman"/>
                <w:b/>
                <w:bCs w:val="0"/>
                <w:color w:val="000000"/>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68"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b/>
                <w:bCs/>
                <w:color w:val="000000"/>
                <w:sz w:val="18"/>
                <w:szCs w:val="18"/>
              </w:rPr>
            </w:pPr>
            <w:r>
              <w:rPr>
                <w:rFonts w:hint="default" w:ascii="Times New Roman" w:hAnsi="Times New Roman" w:cs="Times New Roman"/>
                <w:b/>
                <w:bCs w:val="0"/>
                <w:color w:val="000000"/>
                <w:sz w:val="18"/>
                <w:szCs w:val="18"/>
              </w:rPr>
              <w:t>BAV</w:t>
            </w:r>
          </w:p>
        </w:tc>
        <w:tc>
          <w:tcPr>
            <w:tcW w:w="1126"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bCs/>
                <w:color w:val="000000"/>
                <w:sz w:val="18"/>
                <w:szCs w:val="18"/>
              </w:rPr>
              <w:t>30</w:t>
            </w:r>
          </w:p>
        </w:tc>
        <w:tc>
          <w:tcPr>
            <w:tcW w:w="942"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bCs/>
                <w:color w:val="000000"/>
                <w:sz w:val="18"/>
                <w:szCs w:val="18"/>
              </w:rPr>
              <w:t>100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6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b/>
                <w:bCs/>
                <w:color w:val="000000"/>
                <w:sz w:val="18"/>
                <w:szCs w:val="18"/>
              </w:rPr>
            </w:pPr>
            <w:r>
              <w:rPr>
                <w:rFonts w:hint="default" w:ascii="Times New Roman" w:hAnsi="Times New Roman" w:cs="Times New Roman"/>
                <w:b/>
                <w:bCs w:val="0"/>
                <w:color w:val="000000"/>
                <w:sz w:val="18"/>
                <w:szCs w:val="18"/>
              </w:rPr>
              <w:t>Douleur</w:t>
            </w:r>
          </w:p>
        </w:tc>
        <w:tc>
          <w:tcPr>
            <w:tcW w:w="112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bCs/>
                <w:color w:val="000000"/>
                <w:sz w:val="18"/>
                <w:szCs w:val="18"/>
              </w:rPr>
              <w:t>24</w:t>
            </w:r>
          </w:p>
        </w:tc>
        <w:tc>
          <w:tcPr>
            <w:tcW w:w="94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bCs/>
                <w:color w:val="000000"/>
                <w:sz w:val="18"/>
                <w:szCs w:val="18"/>
              </w:rPr>
              <w:t>80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68"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b/>
                <w:bCs/>
                <w:color w:val="000000"/>
                <w:sz w:val="18"/>
                <w:szCs w:val="18"/>
              </w:rPr>
            </w:pPr>
            <w:r>
              <w:rPr>
                <w:rFonts w:hint="default" w:ascii="Times New Roman" w:hAnsi="Times New Roman" w:cs="Times New Roman"/>
                <w:b/>
                <w:bCs w:val="0"/>
                <w:color w:val="000000"/>
                <w:sz w:val="18"/>
                <w:szCs w:val="18"/>
                <w:lang w:val="fr-FR"/>
              </w:rPr>
              <w:t>Écoulement</w:t>
            </w:r>
            <w:r>
              <w:rPr>
                <w:rFonts w:hint="default" w:ascii="Times New Roman" w:hAnsi="Times New Roman" w:cs="Times New Roman"/>
                <w:b/>
                <w:bCs w:val="0"/>
                <w:color w:val="000000"/>
                <w:sz w:val="18"/>
                <w:szCs w:val="18"/>
              </w:rPr>
              <w:t xml:space="preserve"> clair</w:t>
            </w:r>
          </w:p>
        </w:tc>
        <w:tc>
          <w:tcPr>
            <w:tcW w:w="1126"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23</w:t>
            </w:r>
          </w:p>
        </w:tc>
        <w:tc>
          <w:tcPr>
            <w:tcW w:w="942"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76,67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6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b/>
                <w:bCs/>
                <w:color w:val="000000"/>
                <w:sz w:val="18"/>
                <w:szCs w:val="18"/>
              </w:rPr>
            </w:pPr>
            <w:r>
              <w:rPr>
                <w:rFonts w:hint="default" w:ascii="Times New Roman" w:hAnsi="Times New Roman" w:cs="Times New Roman"/>
                <w:b/>
                <w:bCs w:val="0"/>
                <w:color w:val="000000"/>
                <w:sz w:val="18"/>
                <w:szCs w:val="18"/>
              </w:rPr>
              <w:t>Rougeur</w:t>
            </w:r>
          </w:p>
        </w:tc>
        <w:tc>
          <w:tcPr>
            <w:tcW w:w="112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15</w:t>
            </w:r>
          </w:p>
        </w:tc>
        <w:tc>
          <w:tcPr>
            <w:tcW w:w="94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50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68"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b/>
                <w:bCs/>
                <w:color w:val="000000"/>
                <w:sz w:val="18"/>
                <w:szCs w:val="18"/>
              </w:rPr>
            </w:pPr>
            <w:r>
              <w:rPr>
                <w:rFonts w:hint="default" w:ascii="Times New Roman" w:hAnsi="Times New Roman" w:cs="Times New Roman"/>
                <w:b/>
                <w:bCs w:val="0"/>
                <w:color w:val="000000"/>
                <w:sz w:val="18"/>
                <w:szCs w:val="18"/>
              </w:rPr>
              <w:t>Œdème palpébral</w:t>
            </w:r>
          </w:p>
        </w:tc>
        <w:tc>
          <w:tcPr>
            <w:tcW w:w="1126"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b/>
                <w:color w:val="000000"/>
                <w:sz w:val="18"/>
                <w:szCs w:val="18"/>
              </w:rPr>
            </w:pPr>
            <w:r>
              <w:rPr>
                <w:rFonts w:hint="default" w:ascii="Times New Roman" w:hAnsi="Times New Roman" w:cs="Times New Roman"/>
                <w:color w:val="000000"/>
                <w:sz w:val="18"/>
                <w:szCs w:val="18"/>
              </w:rPr>
              <w:t>7</w:t>
            </w:r>
          </w:p>
        </w:tc>
        <w:tc>
          <w:tcPr>
            <w:tcW w:w="942"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b/>
                <w:color w:val="000000"/>
                <w:sz w:val="18"/>
                <w:szCs w:val="18"/>
              </w:rPr>
            </w:pPr>
            <w:r>
              <w:rPr>
                <w:rFonts w:hint="default" w:ascii="Times New Roman" w:hAnsi="Times New Roman" w:cs="Times New Roman"/>
                <w:color w:val="000000"/>
                <w:sz w:val="18"/>
                <w:szCs w:val="18"/>
              </w:rPr>
              <w:t>23,33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6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b/>
                <w:bCs/>
                <w:color w:val="000000"/>
                <w:sz w:val="18"/>
                <w:szCs w:val="18"/>
              </w:rPr>
            </w:pPr>
            <w:r>
              <w:rPr>
                <w:rFonts w:hint="default" w:ascii="Times New Roman" w:hAnsi="Times New Roman" w:cs="Times New Roman"/>
                <w:b/>
                <w:bCs w:val="0"/>
                <w:color w:val="000000"/>
                <w:sz w:val="18"/>
                <w:szCs w:val="18"/>
              </w:rPr>
              <w:t>Écoulement purulent</w:t>
            </w:r>
          </w:p>
        </w:tc>
        <w:tc>
          <w:tcPr>
            <w:tcW w:w="112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7</w:t>
            </w:r>
          </w:p>
        </w:tc>
        <w:tc>
          <w:tcPr>
            <w:tcW w:w="94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23,33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left"/>
              <w:textAlignment w:val="auto"/>
              <w:rPr>
                <w:rFonts w:hint="default" w:ascii="Times New Roman" w:hAnsi="Times New Roman" w:cs="Times New Roman"/>
                <w:color w:val="000000"/>
                <w:sz w:val="16"/>
                <w:szCs w:val="16"/>
                <w:lang w:val="fr-FR"/>
              </w:rPr>
            </w:pPr>
            <w:r>
              <w:rPr>
                <w:rFonts w:hint="default" w:ascii="Times New Roman" w:hAnsi="Times New Roman" w:cs="Times New Roman"/>
                <w:color w:val="000000"/>
                <w:sz w:val="16"/>
                <w:szCs w:val="16"/>
                <w:lang w:val="fr-FR"/>
              </w:rPr>
              <w:t>BAV: Baisse de l’acuité visuelle</w:t>
            </w:r>
          </w:p>
        </w:tc>
      </w:tr>
    </w:tbl>
    <w:p>
      <w:pPr>
        <w:pStyle w:val="10"/>
        <w:keepNext w:val="0"/>
        <w:keepLines w:val="0"/>
        <w:pageBreakBefore w:val="0"/>
        <w:widowControl/>
        <w:numPr>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
          <w:sz w:val="20"/>
          <w:szCs w:val="20"/>
        </w:rPr>
      </w:pPr>
    </w:p>
    <w:p>
      <w:pPr>
        <w:pStyle w:val="10"/>
        <w:keepNext w:val="0"/>
        <w:keepLines w:val="0"/>
        <w:pageBreakBefore w:val="0"/>
        <w:widowControl/>
        <w:numPr>
          <w:ilvl w:val="0"/>
          <w:numId w:val="4"/>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Délai de consultation</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Quatre yeux soit 13,33% </w:t>
      </w:r>
      <w:r>
        <w:rPr>
          <w:rFonts w:hint="default" w:ascii="Times New Roman" w:hAnsi="Times New Roman" w:cs="Times New Roman"/>
          <w:sz w:val="20"/>
          <w:szCs w:val="20"/>
          <w:lang w:val="fr-FR"/>
        </w:rPr>
        <w:t xml:space="preserve">ont </w:t>
      </w:r>
      <w:r>
        <w:rPr>
          <w:rFonts w:hint="default" w:ascii="Times New Roman" w:hAnsi="Times New Roman" w:cs="Times New Roman"/>
          <w:sz w:val="20"/>
          <w:szCs w:val="20"/>
        </w:rPr>
        <w:t>ét</w:t>
      </w:r>
      <w:r>
        <w:rPr>
          <w:rFonts w:hint="default" w:ascii="Times New Roman" w:hAnsi="Times New Roman" w:cs="Times New Roman"/>
          <w:sz w:val="20"/>
          <w:szCs w:val="20"/>
          <w:lang w:val="fr-FR"/>
        </w:rPr>
        <w:t>é</w:t>
      </w:r>
      <w:r>
        <w:rPr>
          <w:rFonts w:hint="default" w:ascii="Times New Roman" w:hAnsi="Times New Roman" w:cs="Times New Roman"/>
          <w:sz w:val="20"/>
          <w:szCs w:val="20"/>
        </w:rPr>
        <w:t xml:space="preserve"> vus en ophtalmologie dans les 24-48 heures, 70% (21 yeux) entre 3 et 30 jours tandis que 16,67% (5 yeux) </w:t>
      </w:r>
      <w:r>
        <w:rPr>
          <w:rFonts w:hint="default" w:ascii="Times New Roman" w:hAnsi="Times New Roman" w:cs="Times New Roman"/>
          <w:sz w:val="20"/>
          <w:szCs w:val="20"/>
          <w:lang w:val="fr-FR"/>
        </w:rPr>
        <w:t xml:space="preserve">ont </w:t>
      </w:r>
      <w:r>
        <w:rPr>
          <w:rFonts w:hint="default" w:ascii="Times New Roman" w:hAnsi="Times New Roman" w:cs="Times New Roman"/>
          <w:sz w:val="20"/>
          <w:szCs w:val="20"/>
        </w:rPr>
        <w:t>ét</w:t>
      </w:r>
      <w:r>
        <w:rPr>
          <w:rFonts w:hint="default" w:ascii="Times New Roman" w:hAnsi="Times New Roman" w:cs="Times New Roman"/>
          <w:sz w:val="20"/>
          <w:szCs w:val="20"/>
          <w:lang w:val="fr-FR"/>
        </w:rPr>
        <w:t>é</w:t>
      </w:r>
      <w:r>
        <w:rPr>
          <w:rFonts w:hint="default" w:ascii="Times New Roman" w:hAnsi="Times New Roman" w:cs="Times New Roman"/>
          <w:sz w:val="20"/>
          <w:szCs w:val="20"/>
        </w:rPr>
        <w:t xml:space="preserve"> vus au-delà de 30 jours.</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Aucun patient n’était vu en consultation en moins de 6 heures.</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délai moyen d’apparition de l’endophtalmie après chirurgie de la cataracte était de 112 jours avec un minimum de 84</w:t>
      </w:r>
      <w:r>
        <w:rPr>
          <w:rFonts w:hint="default" w:ascii="Times New Roman" w:hAnsi="Times New Roman" w:cs="Times New Roman"/>
          <w:sz w:val="20"/>
          <w:szCs w:val="20"/>
          <w:lang w:val="fr-FR"/>
        </w:rPr>
        <w:t xml:space="preserve"> jours</w:t>
      </w:r>
      <w:r>
        <w:rPr>
          <w:rFonts w:hint="default" w:ascii="Times New Roman" w:hAnsi="Times New Roman" w:cs="Times New Roman"/>
          <w:sz w:val="20"/>
          <w:szCs w:val="20"/>
        </w:rPr>
        <w:t xml:space="preserve"> et un maximum de 168</w:t>
      </w:r>
      <w:r>
        <w:rPr>
          <w:rFonts w:hint="default" w:ascii="Times New Roman" w:hAnsi="Times New Roman" w:cs="Times New Roman"/>
          <w:sz w:val="20"/>
          <w:szCs w:val="20"/>
          <w:lang w:val="fr-FR"/>
        </w:rPr>
        <w:t xml:space="preserve"> jours</w:t>
      </w:r>
      <w:r>
        <w:rPr>
          <w:rFonts w:hint="default" w:ascii="Times New Roman" w:hAnsi="Times New Roman" w:cs="Times New Roman"/>
          <w:sz w:val="20"/>
          <w:szCs w:val="20"/>
        </w:rPr>
        <w:t xml:space="preserve">. Les endophtalmies non chirurgicales avaient un délai moyen </w:t>
      </w:r>
      <w:r>
        <w:rPr>
          <w:rFonts w:hint="default" w:ascii="Times New Roman" w:hAnsi="Times New Roman" w:cs="Times New Roman"/>
          <w:sz w:val="20"/>
          <w:szCs w:val="20"/>
          <w:lang w:val="fr-FR"/>
        </w:rPr>
        <w:t xml:space="preserve">d’apparition </w:t>
      </w:r>
      <w:r>
        <w:rPr>
          <w:rFonts w:hint="default" w:ascii="Times New Roman" w:hAnsi="Times New Roman" w:cs="Times New Roman"/>
          <w:sz w:val="20"/>
          <w:szCs w:val="20"/>
        </w:rPr>
        <w:t>de 26 jours avec des extrêmes de 2 et 365</w:t>
      </w:r>
      <w:r>
        <w:rPr>
          <w:rFonts w:hint="default" w:ascii="Times New Roman" w:hAnsi="Times New Roman" w:cs="Times New Roman"/>
          <w:sz w:val="20"/>
          <w:szCs w:val="20"/>
          <w:lang w:val="fr-FR"/>
        </w:rPr>
        <w:t xml:space="preserve"> jours</w:t>
      </w:r>
      <w:r>
        <w:rPr>
          <w:rFonts w:hint="default" w:ascii="Times New Roman" w:hAnsi="Times New Roman" w:cs="Times New Roman"/>
          <w:sz w:val="20"/>
          <w:szCs w:val="20"/>
        </w:rPr>
        <w:t>.</w:t>
      </w:r>
    </w:p>
    <w:p>
      <w:pPr>
        <w:pStyle w:val="10"/>
        <w:keepNext w:val="0"/>
        <w:keepLines w:val="0"/>
        <w:pageBreakBefore w:val="0"/>
        <w:widowControl/>
        <w:numPr>
          <w:ilvl w:val="0"/>
          <w:numId w:val="4"/>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Antécédents retrouvés</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Cs/>
          <w:sz w:val="20"/>
          <w:szCs w:val="20"/>
        </w:rPr>
      </w:pPr>
      <w:r>
        <w:rPr>
          <w:rFonts w:hint="default" w:ascii="Times New Roman" w:hAnsi="Times New Roman" w:cs="Times New Roman"/>
          <w:bCs/>
          <w:sz w:val="20"/>
          <w:szCs w:val="20"/>
        </w:rPr>
        <w:t>Dix-neuf yeux de patients avaient un antécédent ophtalmologique soit 15 traumatismes et 4 chirurgies de cataracte.</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bCs/>
          <w:sz w:val="20"/>
          <w:szCs w:val="20"/>
        </w:rPr>
        <w:t>Onze présentaient un antécédent général ou loco régional soit 4 hypertendus, une grossesse, 3 sinusites et 3 caries dentaires.</w:t>
      </w:r>
    </w:p>
    <w:p>
      <w:pPr>
        <w:pStyle w:val="10"/>
        <w:keepNext w:val="0"/>
        <w:keepLines w:val="0"/>
        <w:pageBreakBefore w:val="0"/>
        <w:widowControl/>
        <w:numPr>
          <w:ilvl w:val="0"/>
          <w:numId w:val="4"/>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Latéralité</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bCs/>
          <w:sz w:val="20"/>
          <w:szCs w:val="20"/>
        </w:rPr>
        <w:t>L’endophtalmie était unilatérale dans 100% des cas.</w:t>
      </w:r>
    </w:p>
    <w:p>
      <w:pPr>
        <w:pStyle w:val="10"/>
        <w:keepNext w:val="0"/>
        <w:keepLines w:val="0"/>
        <w:pageBreakBefore w:val="0"/>
        <w:widowControl/>
        <w:numPr>
          <w:ilvl w:val="0"/>
          <w:numId w:val="4"/>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Acuité visuelle</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Cs/>
          <w:sz w:val="20"/>
          <w:szCs w:val="20"/>
        </w:rPr>
        <w:t>Ce tableau II montre une cécité à 93,40%</w:t>
      </w:r>
      <w:r>
        <w:rPr>
          <w:rFonts w:hint="default" w:ascii="Times New Roman" w:hAnsi="Times New Roman" w:cs="Times New Roman"/>
          <w:b/>
          <w:bCs/>
          <w:sz w:val="20"/>
          <w:szCs w:val="20"/>
        </w:rPr>
        <w:t>.</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
          <w:bCs/>
          <w:sz w:val="20"/>
          <w:szCs w:val="20"/>
        </w:rPr>
      </w:pPr>
    </w:p>
    <w:tbl>
      <w:tblPr>
        <w:tblStyle w:val="9"/>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92"/>
        <w:gridCol w:w="1000"/>
        <w:gridCol w:w="944"/>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tcBorders>
              <w:top w:val="single" w:color="4F81BD" w:sz="8" w:space="0"/>
              <w:left w:val="nil"/>
              <w:bottom w:val="single" w:color="4F81BD" w:sz="8" w:space="0"/>
              <w:right w:val="nil"/>
            </w:tcBorders>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left"/>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Tableau II</w:t>
            </w:r>
            <w:r>
              <w:rPr>
                <w:rFonts w:hint="default" w:ascii="Times New Roman" w:hAnsi="Times New Roman" w:cs="Times New Roman"/>
                <w:b/>
                <w:bCs/>
                <w:color w:val="000000"/>
                <w:sz w:val="18"/>
                <w:szCs w:val="18"/>
                <w:lang w:val="fr-FR"/>
              </w:rPr>
              <w:t xml:space="preserve"> </w:t>
            </w:r>
            <w:r>
              <w:rPr>
                <w:rFonts w:hint="default" w:ascii="Times New Roman" w:hAnsi="Times New Roman" w:cs="Times New Roman"/>
                <w:b/>
                <w:bCs/>
                <w:color w:val="000000"/>
                <w:sz w:val="18"/>
                <w:szCs w:val="18"/>
              </w:rPr>
              <w:t xml:space="preserve">: </w:t>
            </w:r>
            <w:r>
              <w:rPr>
                <w:rFonts w:hint="default" w:ascii="Times New Roman" w:hAnsi="Times New Roman" w:cs="Times New Roman"/>
                <w:b/>
                <w:bCs/>
                <w:color w:val="000000"/>
                <w:sz w:val="18"/>
                <w:szCs w:val="18"/>
                <w:lang w:val="fr-FR"/>
              </w:rPr>
              <w:t>R</w:t>
            </w:r>
            <w:r>
              <w:rPr>
                <w:rFonts w:hint="default" w:ascii="Times New Roman" w:hAnsi="Times New Roman" w:cs="Times New Roman"/>
                <w:b/>
                <w:bCs/>
                <w:color w:val="000000"/>
                <w:sz w:val="18"/>
                <w:szCs w:val="18"/>
              </w:rPr>
              <w:t>épartition des yeux en fonction de l’acuité visuelle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left"/>
              <w:textAlignment w:val="auto"/>
              <w:rPr>
                <w:rFonts w:ascii="Times New Roman" w:hAnsi="Times New Roman"/>
                <w:b/>
                <w:bCs/>
                <w:color w:val="000000"/>
                <w:sz w:val="18"/>
                <w:szCs w:val="18"/>
              </w:rPr>
            </w:pPr>
            <w:r>
              <w:rPr>
                <w:rFonts w:hint="default" w:ascii="Times New Roman" w:hAnsi="Times New Roman" w:cs="Times New Roman"/>
                <w:b/>
                <w:bCs w:val="0"/>
                <w:color w:val="000000"/>
                <w:sz w:val="18"/>
                <w:szCs w:val="18"/>
              </w:rPr>
              <w:t>AVLsc</w:t>
            </w:r>
          </w:p>
        </w:tc>
        <w:tc>
          <w:tcPr>
            <w:tcW w:w="100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left"/>
              <w:textAlignment w:val="auto"/>
              <w:rPr>
                <w:rFonts w:ascii="Times New Roman" w:hAnsi="Times New Roman"/>
                <w:b/>
                <w:color w:val="000000"/>
                <w:sz w:val="18"/>
                <w:szCs w:val="18"/>
              </w:rPr>
            </w:pPr>
            <w:r>
              <w:rPr>
                <w:rFonts w:hint="default" w:ascii="Times New Roman" w:hAnsi="Times New Roman" w:cs="Times New Roman"/>
                <w:b/>
                <w:bCs w:val="0"/>
                <w:color w:val="000000"/>
                <w:sz w:val="18"/>
                <w:szCs w:val="18"/>
                <w:lang w:val="fr-FR"/>
              </w:rPr>
              <w:t>n</w:t>
            </w:r>
            <w:r>
              <w:rPr>
                <w:rFonts w:hint="default" w:ascii="Times New Roman" w:hAnsi="Times New Roman" w:cs="Times New Roman"/>
                <w:b/>
                <w:bCs w:val="0"/>
                <w:color w:val="000000"/>
                <w:sz w:val="18"/>
                <w:szCs w:val="18"/>
              </w:rPr>
              <w:t xml:space="preserve"> (yeux)</w:t>
            </w:r>
          </w:p>
        </w:tc>
        <w:tc>
          <w:tcPr>
            <w:tcW w:w="94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left"/>
              <w:textAlignment w:val="auto"/>
              <w:rPr>
                <w:rFonts w:ascii="Times New Roman" w:hAnsi="Times New Roman"/>
                <w:b/>
                <w:color w:val="000000"/>
                <w:sz w:val="18"/>
                <w:szCs w:val="18"/>
              </w:rPr>
            </w:pPr>
            <w:r>
              <w:rPr>
                <w:rFonts w:hint="default" w:ascii="Times New Roman" w:hAnsi="Times New Roman" w:cs="Times New Roman"/>
                <w:b/>
                <w:bCs w:val="0"/>
                <w:color w:val="000000"/>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2"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left"/>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PPL</w:t>
            </w:r>
          </w:p>
        </w:tc>
        <w:tc>
          <w:tcPr>
            <w:tcW w:w="1000"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left"/>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11</w:t>
            </w:r>
          </w:p>
        </w:tc>
        <w:tc>
          <w:tcPr>
            <w:tcW w:w="944"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left"/>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36,70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left"/>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PL</w:t>
            </w:r>
          </w:p>
        </w:tc>
        <w:tc>
          <w:tcPr>
            <w:tcW w:w="100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left"/>
              <w:textAlignment w:val="auto"/>
              <w:rPr>
                <w:rFonts w:ascii="Times New Roman" w:hAnsi="Times New Roman"/>
                <w:bCs/>
                <w:color w:val="000000"/>
                <w:sz w:val="18"/>
                <w:szCs w:val="18"/>
              </w:rPr>
            </w:pPr>
            <w:r>
              <w:rPr>
                <w:rFonts w:hint="default" w:ascii="Times New Roman" w:hAnsi="Times New Roman" w:cs="Times New Roman"/>
                <w:bCs/>
                <w:color w:val="000000"/>
                <w:sz w:val="18"/>
                <w:szCs w:val="18"/>
              </w:rPr>
              <w:t>13</w:t>
            </w:r>
          </w:p>
        </w:tc>
        <w:tc>
          <w:tcPr>
            <w:tcW w:w="94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left"/>
              <w:textAlignment w:val="auto"/>
              <w:rPr>
                <w:rFonts w:ascii="Times New Roman" w:hAnsi="Times New Roman"/>
                <w:bCs/>
                <w:color w:val="000000"/>
                <w:sz w:val="18"/>
                <w:szCs w:val="18"/>
              </w:rPr>
            </w:pPr>
            <w:r>
              <w:rPr>
                <w:rFonts w:hint="default" w:ascii="Times New Roman" w:hAnsi="Times New Roman" w:cs="Times New Roman"/>
                <w:bCs/>
                <w:color w:val="000000"/>
                <w:sz w:val="18"/>
                <w:szCs w:val="18"/>
              </w:rPr>
              <w:t>43,40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2"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left"/>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VBLM</w:t>
            </w:r>
          </w:p>
        </w:tc>
        <w:tc>
          <w:tcPr>
            <w:tcW w:w="1000"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left"/>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2</w:t>
            </w:r>
          </w:p>
        </w:tc>
        <w:tc>
          <w:tcPr>
            <w:tcW w:w="944"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left"/>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6,70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left"/>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CLD 1m</w:t>
            </w:r>
          </w:p>
        </w:tc>
        <w:tc>
          <w:tcPr>
            <w:tcW w:w="100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left"/>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1</w:t>
            </w:r>
          </w:p>
        </w:tc>
        <w:tc>
          <w:tcPr>
            <w:tcW w:w="94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left"/>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3,30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2"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left"/>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CLD 2m</w:t>
            </w:r>
          </w:p>
        </w:tc>
        <w:tc>
          <w:tcPr>
            <w:tcW w:w="1000"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left"/>
              <w:textAlignment w:val="auto"/>
              <w:rPr>
                <w:rFonts w:ascii="Times New Roman" w:hAnsi="Times New Roman"/>
                <w:b/>
                <w:color w:val="000000"/>
                <w:sz w:val="18"/>
                <w:szCs w:val="18"/>
              </w:rPr>
            </w:pPr>
            <w:r>
              <w:rPr>
                <w:rFonts w:hint="default" w:ascii="Times New Roman" w:hAnsi="Times New Roman" w:cs="Times New Roman"/>
                <w:color w:val="000000"/>
                <w:sz w:val="18"/>
                <w:szCs w:val="18"/>
              </w:rPr>
              <w:t>1</w:t>
            </w:r>
          </w:p>
        </w:tc>
        <w:tc>
          <w:tcPr>
            <w:tcW w:w="944"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left"/>
              <w:textAlignment w:val="auto"/>
              <w:rPr>
                <w:rFonts w:ascii="Times New Roman" w:hAnsi="Times New Roman"/>
                <w:b/>
                <w:color w:val="000000"/>
                <w:sz w:val="18"/>
                <w:szCs w:val="18"/>
              </w:rPr>
            </w:pPr>
            <w:r>
              <w:rPr>
                <w:rFonts w:hint="default" w:ascii="Times New Roman" w:hAnsi="Times New Roman" w:cs="Times New Roman"/>
                <w:color w:val="000000"/>
                <w:sz w:val="18"/>
                <w:szCs w:val="18"/>
              </w:rPr>
              <w:t>3,30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left"/>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CLD 4m</w:t>
            </w:r>
          </w:p>
        </w:tc>
        <w:tc>
          <w:tcPr>
            <w:tcW w:w="100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left"/>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1</w:t>
            </w:r>
          </w:p>
        </w:tc>
        <w:tc>
          <w:tcPr>
            <w:tcW w:w="94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left"/>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3,30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2"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left"/>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2/10e</w:t>
            </w:r>
          </w:p>
        </w:tc>
        <w:tc>
          <w:tcPr>
            <w:tcW w:w="1000"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left"/>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1</w:t>
            </w:r>
          </w:p>
        </w:tc>
        <w:tc>
          <w:tcPr>
            <w:tcW w:w="944"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left"/>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3,30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AVLsc</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 Acuité Visuelle de Loin sans correction</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PPL</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 Pas de Perception Lumineuse</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PL</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 Perception Lumineuse</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CLD</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 Compte Les Doigts</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16"/>
                <w:szCs w:val="16"/>
                <w:lang w:val="fr-FR"/>
              </w:rPr>
            </w:pPr>
            <w:r>
              <w:rPr>
                <w:rFonts w:hint="default" w:ascii="Times New Roman" w:hAnsi="Times New Roman" w:cs="Times New Roman"/>
                <w:sz w:val="16"/>
                <w:szCs w:val="16"/>
                <w:lang w:val="fr-FR"/>
              </w:rPr>
              <w:t>VBLM :</w:t>
            </w:r>
          </w:p>
        </w:tc>
      </w:tr>
    </w:tbl>
    <w:p>
      <w:pPr>
        <w:pStyle w:val="10"/>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
          <w:bCs/>
          <w:sz w:val="20"/>
          <w:szCs w:val="20"/>
        </w:rPr>
      </w:pPr>
    </w:p>
    <w:p>
      <w:pPr>
        <w:pStyle w:val="10"/>
        <w:keepNext w:val="0"/>
        <w:keepLines w:val="0"/>
        <w:pageBreakBefore w:val="0"/>
        <w:widowControl/>
        <w:numPr>
          <w:ilvl w:val="0"/>
          <w:numId w:val="4"/>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b/>
          <w:bCs/>
          <w:sz w:val="20"/>
          <w:szCs w:val="20"/>
        </w:rPr>
        <w:t>Examen ophtalmologique</w: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Les structures oculaires antérieures et les annexes sont plus concernées dans une endophtalmie selon le tableau III. </w: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Demandée chez 16 patients, l’échographie en mode B n’était réalisée que par cinq et ne révélait aucune complication.</w:t>
      </w:r>
    </w:p>
    <w:tbl>
      <w:tblPr>
        <w:tblStyle w:val="9"/>
        <w:tblpPr w:leftFromText="180" w:rightFromText="180" w:vertAnchor="text" w:horzAnchor="page" w:tblpX="1129" w:tblpY="146"/>
        <w:tblOverlap w:val="never"/>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94"/>
        <w:gridCol w:w="973"/>
        <w:gridCol w:w="869"/>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tcBorders>
              <w:top w:val="single" w:color="4F81BD" w:sz="8" w:space="0"/>
              <w:left w:val="nil"/>
              <w:bottom w:val="single" w:color="4F81BD" w:sz="8" w:space="0"/>
              <w:right w:val="nil"/>
            </w:tcBorders>
            <w:vAlign w:val="top"/>
          </w:tcPr>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Tableau III</w:t>
            </w:r>
            <w:r>
              <w:rPr>
                <w:rFonts w:hint="default" w:ascii="Times New Roman" w:hAnsi="Times New Roman" w:cs="Times New Roman"/>
                <w:b/>
                <w:bCs/>
                <w:color w:val="000000"/>
                <w:sz w:val="18"/>
                <w:szCs w:val="18"/>
                <w:lang w:val="fr-FR"/>
              </w:rPr>
              <w:t xml:space="preserve"> </w:t>
            </w:r>
            <w:r>
              <w:rPr>
                <w:rFonts w:hint="default" w:ascii="Times New Roman" w:hAnsi="Times New Roman" w:cs="Times New Roman"/>
                <w:b/>
                <w:bCs/>
                <w:color w:val="000000"/>
                <w:sz w:val="18"/>
                <w:szCs w:val="18"/>
              </w:rPr>
              <w:t xml:space="preserve">: </w:t>
            </w:r>
            <w:r>
              <w:rPr>
                <w:rFonts w:hint="default" w:ascii="Times New Roman" w:hAnsi="Times New Roman" w:cs="Times New Roman"/>
                <w:b/>
                <w:bCs w:val="0"/>
                <w:color w:val="000000"/>
                <w:sz w:val="18"/>
                <w:szCs w:val="18"/>
              </w:rPr>
              <w:t>Distribution des signes physiques retrouvés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94" w:type="dxa"/>
            <w:tcBorders>
              <w:left w:val="nil"/>
              <w:right w:val="nil"/>
            </w:tcBorders>
            <w:shd w:val="clear" w:color="auto" w:fill="D3DFEE"/>
            <w:vAlign w:val="top"/>
          </w:tcPr>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left"/>
              <w:textAlignment w:val="auto"/>
              <w:rPr>
                <w:rFonts w:ascii="Times New Roman" w:hAnsi="Times New Roman"/>
                <w:b/>
                <w:bCs/>
                <w:color w:val="000000"/>
                <w:sz w:val="18"/>
                <w:szCs w:val="18"/>
              </w:rPr>
            </w:pPr>
            <w:r>
              <w:rPr>
                <w:rFonts w:hint="default" w:ascii="Times New Roman" w:hAnsi="Times New Roman" w:cs="Times New Roman"/>
                <w:b/>
                <w:bCs w:val="0"/>
                <w:color w:val="000000"/>
                <w:sz w:val="18"/>
                <w:szCs w:val="18"/>
              </w:rPr>
              <w:t>Signes physiques</w:t>
            </w:r>
          </w:p>
        </w:tc>
        <w:tc>
          <w:tcPr>
            <w:tcW w:w="973" w:type="dxa"/>
            <w:tcBorders>
              <w:left w:val="nil"/>
              <w:right w:val="nil"/>
            </w:tcBorders>
            <w:shd w:val="clear" w:color="auto" w:fill="D3DFEE"/>
            <w:vAlign w:val="top"/>
          </w:tcPr>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b/>
                <w:color w:val="000000"/>
                <w:sz w:val="18"/>
                <w:szCs w:val="18"/>
              </w:rPr>
            </w:pPr>
            <w:r>
              <w:rPr>
                <w:rFonts w:hint="default" w:ascii="Times New Roman" w:hAnsi="Times New Roman" w:cs="Times New Roman"/>
                <w:b/>
                <w:bCs w:val="0"/>
                <w:color w:val="000000"/>
                <w:sz w:val="18"/>
                <w:szCs w:val="18"/>
                <w:lang w:val="fr-FR"/>
              </w:rPr>
              <w:t>n</w:t>
            </w:r>
            <w:r>
              <w:rPr>
                <w:rFonts w:hint="default" w:ascii="Times New Roman" w:hAnsi="Times New Roman" w:cs="Times New Roman"/>
                <w:b/>
                <w:bCs w:val="0"/>
                <w:color w:val="000000"/>
                <w:sz w:val="18"/>
                <w:szCs w:val="18"/>
              </w:rPr>
              <w:t xml:space="preserve"> (yeux)</w:t>
            </w:r>
          </w:p>
        </w:tc>
        <w:tc>
          <w:tcPr>
            <w:tcW w:w="869" w:type="dxa"/>
            <w:tcBorders>
              <w:left w:val="nil"/>
              <w:right w:val="nil"/>
            </w:tcBorders>
            <w:shd w:val="clear" w:color="auto" w:fill="D3DFEE"/>
            <w:vAlign w:val="top"/>
          </w:tcPr>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b/>
                <w:color w:val="000000"/>
                <w:sz w:val="18"/>
                <w:szCs w:val="18"/>
              </w:rPr>
            </w:pPr>
            <w:r>
              <w:rPr>
                <w:rFonts w:hint="default" w:ascii="Times New Roman" w:hAnsi="Times New Roman" w:cs="Times New Roman"/>
                <w:b/>
                <w:bCs w:val="0"/>
                <w:color w:val="000000"/>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vAlign w:val="top"/>
          </w:tcPr>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bCs/>
                <w:color w:val="000000"/>
                <w:sz w:val="18"/>
                <w:szCs w:val="18"/>
              </w:rPr>
            </w:pPr>
            <w:r>
              <w:rPr>
                <w:rFonts w:hint="default" w:ascii="Times New Roman" w:hAnsi="Times New Roman" w:cs="Times New Roman"/>
                <w:b/>
                <w:bCs w:val="0"/>
                <w:color w:val="000000"/>
                <w:sz w:val="18"/>
                <w:szCs w:val="18"/>
              </w:rPr>
              <w:t>Annexes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94" w:type="dxa"/>
            <w:tcBorders>
              <w:left w:val="nil"/>
              <w:right w:val="nil"/>
            </w:tcBorders>
            <w:shd w:val="clear" w:color="auto" w:fill="D3DFEE"/>
            <w:vAlign w:val="top"/>
          </w:tcPr>
          <w:p>
            <w:pPr>
              <w:pStyle w:val="10"/>
              <w:keepNext w:val="0"/>
              <w:keepLines w:val="0"/>
              <w:pageBreakBefore w:val="0"/>
              <w:widowControl/>
              <w:numPr>
                <w:ilvl w:val="0"/>
                <w:numId w:val="5"/>
              </w:numPr>
              <w:tabs>
                <w:tab w:val="left" w:pos="2790"/>
              </w:tabs>
              <w:kinsoku/>
              <w:wordWrap/>
              <w:overflowPunct/>
              <w:topLinePunct w:val="0"/>
              <w:autoSpaceDE/>
              <w:autoSpaceDN/>
              <w:bidi w:val="0"/>
              <w:adjustRightInd/>
              <w:snapToGrid/>
              <w:spacing w:beforeAutospacing="0" w:after="0" w:afterAutospacing="0" w:line="240" w:lineRule="auto"/>
              <w:ind w:left="440" w:leftChars="0" w:hanging="220" w:firstLineChars="0"/>
              <w:jc w:val="left"/>
              <w:textAlignment w:val="auto"/>
              <w:rPr>
                <w:rFonts w:ascii="Times New Roman" w:hAnsi="Times New Roman"/>
                <w:b/>
                <w:bCs/>
                <w:color w:val="000000"/>
                <w:sz w:val="18"/>
                <w:szCs w:val="18"/>
              </w:rPr>
            </w:pPr>
            <w:r>
              <w:rPr>
                <w:rFonts w:hint="default" w:ascii="Times New Roman" w:hAnsi="Times New Roman" w:cs="Times New Roman"/>
                <w:b w:val="0"/>
                <w:bCs/>
                <w:color w:val="000000"/>
                <w:sz w:val="18"/>
                <w:szCs w:val="18"/>
              </w:rPr>
              <w:t>Hyperhémie</w:t>
            </w:r>
            <w:r>
              <w:rPr>
                <w:rFonts w:hint="default" w:ascii="Times New Roman" w:hAnsi="Times New Roman" w:cs="Times New Roman"/>
                <w:b w:val="0"/>
                <w:bCs/>
                <w:color w:val="000000"/>
                <w:sz w:val="18"/>
                <w:szCs w:val="18"/>
                <w:lang w:val="fr-FR"/>
              </w:rPr>
              <w:t xml:space="preserve"> </w:t>
            </w:r>
            <w:r>
              <w:rPr>
                <w:rFonts w:hint="default" w:ascii="Times New Roman" w:hAnsi="Times New Roman" w:cs="Times New Roman"/>
                <w:b w:val="0"/>
                <w:bCs/>
                <w:color w:val="000000"/>
                <w:sz w:val="18"/>
                <w:szCs w:val="18"/>
              </w:rPr>
              <w:t>conjonctivale</w:t>
            </w:r>
          </w:p>
        </w:tc>
        <w:tc>
          <w:tcPr>
            <w:tcW w:w="973" w:type="dxa"/>
            <w:tcBorders>
              <w:left w:val="nil"/>
              <w:right w:val="nil"/>
            </w:tcBorders>
            <w:shd w:val="clear" w:color="auto" w:fill="D3DFEE"/>
            <w:vAlign w:val="top"/>
          </w:tcPr>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bCs/>
                <w:color w:val="000000"/>
                <w:sz w:val="18"/>
                <w:szCs w:val="18"/>
              </w:rPr>
              <w:t>28</w:t>
            </w:r>
          </w:p>
        </w:tc>
        <w:tc>
          <w:tcPr>
            <w:tcW w:w="869" w:type="dxa"/>
            <w:tcBorders>
              <w:left w:val="nil"/>
              <w:right w:val="nil"/>
            </w:tcBorders>
            <w:shd w:val="clear" w:color="auto" w:fill="D3DFEE"/>
            <w:vAlign w:val="top"/>
          </w:tcPr>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bCs/>
                <w:color w:val="000000"/>
                <w:sz w:val="18"/>
                <w:szCs w:val="18"/>
              </w:rPr>
              <w:t>93,33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94" w:type="dxa"/>
            <w:vAlign w:val="top"/>
          </w:tcPr>
          <w:p>
            <w:pPr>
              <w:pStyle w:val="10"/>
              <w:keepNext w:val="0"/>
              <w:keepLines w:val="0"/>
              <w:pageBreakBefore w:val="0"/>
              <w:widowControl/>
              <w:numPr>
                <w:ilvl w:val="0"/>
                <w:numId w:val="5"/>
              </w:numPr>
              <w:tabs>
                <w:tab w:val="left" w:pos="2790"/>
              </w:tabs>
              <w:kinsoku/>
              <w:wordWrap/>
              <w:overflowPunct/>
              <w:topLinePunct w:val="0"/>
              <w:autoSpaceDE/>
              <w:autoSpaceDN/>
              <w:bidi w:val="0"/>
              <w:adjustRightInd/>
              <w:snapToGrid/>
              <w:spacing w:beforeAutospacing="0" w:after="0" w:afterAutospacing="0" w:line="240" w:lineRule="auto"/>
              <w:ind w:left="440" w:leftChars="0" w:hanging="220" w:firstLineChars="0"/>
              <w:jc w:val="left"/>
              <w:textAlignment w:val="auto"/>
              <w:rPr>
                <w:rFonts w:ascii="Times New Roman" w:hAnsi="Times New Roman"/>
                <w:b/>
                <w:bCs/>
                <w:color w:val="000000"/>
                <w:sz w:val="18"/>
                <w:szCs w:val="18"/>
              </w:rPr>
            </w:pPr>
            <w:r>
              <w:rPr>
                <w:rFonts w:hint="default" w:ascii="Times New Roman" w:hAnsi="Times New Roman" w:cs="Times New Roman"/>
                <w:b w:val="0"/>
                <w:bCs/>
                <w:color w:val="000000"/>
                <w:sz w:val="18"/>
                <w:szCs w:val="18"/>
              </w:rPr>
              <w:t>Œdème palpébral</w:t>
            </w:r>
          </w:p>
        </w:tc>
        <w:tc>
          <w:tcPr>
            <w:tcW w:w="973" w:type="dxa"/>
            <w:vAlign w:val="top"/>
          </w:tcPr>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7</w:t>
            </w:r>
          </w:p>
        </w:tc>
        <w:tc>
          <w:tcPr>
            <w:tcW w:w="869" w:type="dxa"/>
            <w:vAlign w:val="top"/>
          </w:tcPr>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23,33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tcBorders>
              <w:left w:val="nil"/>
              <w:right w:val="nil"/>
            </w:tcBorders>
            <w:shd w:val="clear" w:color="auto" w:fill="D3DFEE"/>
            <w:vAlign w:val="top"/>
          </w:tcPr>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bCs/>
                <w:color w:val="000000"/>
                <w:sz w:val="18"/>
                <w:szCs w:val="18"/>
              </w:rPr>
            </w:pPr>
            <w:r>
              <w:rPr>
                <w:rFonts w:hint="default" w:ascii="Times New Roman" w:hAnsi="Times New Roman" w:cs="Times New Roman"/>
                <w:b/>
                <w:bCs w:val="0"/>
                <w:color w:val="000000"/>
                <w:sz w:val="18"/>
                <w:szCs w:val="18"/>
              </w:rPr>
              <w:t>Segment antérieur</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94" w:type="dxa"/>
            <w:vAlign w:val="top"/>
          </w:tcPr>
          <w:p>
            <w:pPr>
              <w:pStyle w:val="10"/>
              <w:keepNext w:val="0"/>
              <w:keepLines w:val="0"/>
              <w:pageBreakBefore w:val="0"/>
              <w:widowControl/>
              <w:numPr>
                <w:ilvl w:val="0"/>
                <w:numId w:val="5"/>
              </w:numPr>
              <w:tabs>
                <w:tab w:val="left" w:pos="2790"/>
              </w:tabs>
              <w:kinsoku/>
              <w:wordWrap/>
              <w:overflowPunct/>
              <w:topLinePunct w:val="0"/>
              <w:autoSpaceDE/>
              <w:autoSpaceDN/>
              <w:bidi w:val="0"/>
              <w:adjustRightInd/>
              <w:snapToGrid/>
              <w:spacing w:beforeAutospacing="0" w:after="0" w:afterAutospacing="0" w:line="240" w:lineRule="auto"/>
              <w:ind w:left="440" w:leftChars="0" w:hanging="220" w:firstLineChars="0"/>
              <w:jc w:val="left"/>
              <w:textAlignment w:val="auto"/>
              <w:rPr>
                <w:rFonts w:ascii="Times New Roman" w:hAnsi="Times New Roman"/>
                <w:b/>
                <w:bCs/>
                <w:color w:val="000000"/>
                <w:sz w:val="18"/>
                <w:szCs w:val="18"/>
              </w:rPr>
            </w:pPr>
            <w:r>
              <w:rPr>
                <w:rFonts w:hint="default" w:ascii="Times New Roman" w:hAnsi="Times New Roman" w:cs="Times New Roman"/>
                <w:b w:val="0"/>
                <w:bCs/>
                <w:color w:val="000000"/>
                <w:sz w:val="18"/>
                <w:szCs w:val="18"/>
              </w:rPr>
              <w:t>Abcès de cornée</w:t>
            </w:r>
          </w:p>
        </w:tc>
        <w:tc>
          <w:tcPr>
            <w:tcW w:w="973" w:type="dxa"/>
            <w:vAlign w:val="top"/>
          </w:tcPr>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b/>
                <w:color w:val="000000"/>
                <w:sz w:val="18"/>
                <w:szCs w:val="18"/>
              </w:rPr>
            </w:pPr>
            <w:r>
              <w:rPr>
                <w:rFonts w:hint="default" w:ascii="Times New Roman" w:hAnsi="Times New Roman" w:cs="Times New Roman"/>
                <w:bCs/>
                <w:color w:val="000000"/>
                <w:sz w:val="18"/>
                <w:szCs w:val="18"/>
              </w:rPr>
              <w:t>15</w:t>
            </w:r>
          </w:p>
        </w:tc>
        <w:tc>
          <w:tcPr>
            <w:tcW w:w="869" w:type="dxa"/>
            <w:vAlign w:val="top"/>
          </w:tcPr>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b/>
                <w:color w:val="000000"/>
                <w:sz w:val="18"/>
                <w:szCs w:val="18"/>
              </w:rPr>
            </w:pPr>
            <w:r>
              <w:rPr>
                <w:rFonts w:hint="default" w:ascii="Times New Roman" w:hAnsi="Times New Roman" w:cs="Times New Roman"/>
                <w:bCs/>
                <w:color w:val="000000"/>
                <w:sz w:val="18"/>
                <w:szCs w:val="18"/>
              </w:rPr>
              <w:t>50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94" w:type="dxa"/>
            <w:tcBorders>
              <w:left w:val="nil"/>
              <w:right w:val="nil"/>
            </w:tcBorders>
            <w:shd w:val="clear" w:color="auto" w:fill="D3DFEE"/>
            <w:vAlign w:val="top"/>
          </w:tcPr>
          <w:p>
            <w:pPr>
              <w:pStyle w:val="10"/>
              <w:keepNext w:val="0"/>
              <w:keepLines w:val="0"/>
              <w:pageBreakBefore w:val="0"/>
              <w:widowControl/>
              <w:numPr>
                <w:ilvl w:val="0"/>
                <w:numId w:val="5"/>
              </w:numPr>
              <w:tabs>
                <w:tab w:val="left" w:pos="2790"/>
              </w:tabs>
              <w:kinsoku/>
              <w:wordWrap/>
              <w:overflowPunct/>
              <w:topLinePunct w:val="0"/>
              <w:autoSpaceDE/>
              <w:autoSpaceDN/>
              <w:bidi w:val="0"/>
              <w:adjustRightInd/>
              <w:snapToGrid/>
              <w:spacing w:beforeAutospacing="0" w:after="0" w:afterAutospacing="0" w:line="240" w:lineRule="auto"/>
              <w:ind w:left="440" w:leftChars="0" w:hanging="220" w:firstLineChars="0"/>
              <w:jc w:val="left"/>
              <w:textAlignment w:val="auto"/>
              <w:rPr>
                <w:rFonts w:ascii="Times New Roman" w:hAnsi="Times New Roman"/>
                <w:b/>
                <w:bCs/>
                <w:color w:val="000000"/>
                <w:sz w:val="18"/>
                <w:szCs w:val="18"/>
              </w:rPr>
            </w:pPr>
            <w:r>
              <w:rPr>
                <w:rFonts w:hint="default" w:ascii="Times New Roman" w:hAnsi="Times New Roman" w:cs="Times New Roman"/>
                <w:b w:val="0"/>
                <w:bCs/>
                <w:color w:val="000000"/>
                <w:sz w:val="18"/>
                <w:szCs w:val="18"/>
              </w:rPr>
              <w:t>Ulcère de cornée</w:t>
            </w:r>
          </w:p>
        </w:tc>
        <w:tc>
          <w:tcPr>
            <w:tcW w:w="973" w:type="dxa"/>
            <w:tcBorders>
              <w:left w:val="nil"/>
              <w:right w:val="nil"/>
            </w:tcBorders>
            <w:shd w:val="clear" w:color="auto" w:fill="D3DFEE"/>
            <w:vAlign w:val="top"/>
          </w:tcPr>
          <w:p>
            <w:pPr>
              <w:pStyle w:val="10"/>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ind w:left="0" w:leftChars="0" w:firstLine="0" w:firstLineChars="0"/>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lang w:val="fr-FR"/>
              </w:rPr>
              <w:t>4</w:t>
            </w:r>
          </w:p>
        </w:tc>
        <w:tc>
          <w:tcPr>
            <w:tcW w:w="869" w:type="dxa"/>
            <w:tcBorders>
              <w:left w:val="nil"/>
              <w:right w:val="nil"/>
            </w:tcBorders>
            <w:shd w:val="clear" w:color="auto" w:fill="D3DFEE"/>
            <w:vAlign w:val="top"/>
          </w:tcPr>
          <w:p>
            <w:pPr>
              <w:pStyle w:val="10"/>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ind w:left="440" w:leftChars="0" w:hanging="220" w:firstLineChars="0"/>
              <w:jc w:val="both"/>
              <w:textAlignment w:val="auto"/>
              <w:rPr>
                <w:rFonts w:ascii="Times New Roman" w:hAnsi="Times New Roman"/>
                <w:bCs/>
                <w:color w:val="000000"/>
                <w:sz w:val="18"/>
                <w:szCs w:val="18"/>
              </w:rPr>
            </w:pPr>
            <w:r>
              <w:rPr>
                <w:rFonts w:hint="default" w:ascii="Times New Roman" w:hAnsi="Times New Roman" w:cs="Times New Roman"/>
                <w:color w:val="000000"/>
                <w:sz w:val="18"/>
                <w:szCs w:val="18"/>
                <w:lang w:val="fr-FR"/>
              </w:rPr>
              <w:t>13.33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94" w:type="dxa"/>
            <w:vAlign w:val="top"/>
          </w:tcPr>
          <w:p>
            <w:pPr>
              <w:pStyle w:val="10"/>
              <w:keepNext w:val="0"/>
              <w:keepLines w:val="0"/>
              <w:pageBreakBefore w:val="0"/>
              <w:widowControl/>
              <w:numPr>
                <w:ilvl w:val="0"/>
                <w:numId w:val="5"/>
              </w:numPr>
              <w:tabs>
                <w:tab w:val="left" w:pos="2790"/>
              </w:tabs>
              <w:kinsoku/>
              <w:wordWrap/>
              <w:overflowPunct/>
              <w:topLinePunct w:val="0"/>
              <w:autoSpaceDE/>
              <w:autoSpaceDN/>
              <w:bidi w:val="0"/>
              <w:adjustRightInd/>
              <w:snapToGrid/>
              <w:spacing w:beforeAutospacing="0" w:after="0" w:afterAutospacing="0" w:line="240" w:lineRule="auto"/>
              <w:ind w:left="440" w:leftChars="0" w:hanging="220" w:firstLineChars="0"/>
              <w:jc w:val="left"/>
              <w:textAlignment w:val="auto"/>
              <w:rPr>
                <w:rFonts w:ascii="Times New Roman" w:hAnsi="Times New Roman"/>
                <w:b/>
                <w:bCs/>
                <w:color w:val="000000"/>
                <w:sz w:val="18"/>
                <w:szCs w:val="18"/>
              </w:rPr>
            </w:pPr>
            <w:r>
              <w:rPr>
                <w:rFonts w:hint="default" w:ascii="Times New Roman" w:hAnsi="Times New Roman" w:cs="Times New Roman"/>
                <w:b w:val="0"/>
                <w:bCs/>
                <w:color w:val="000000"/>
                <w:sz w:val="18"/>
                <w:szCs w:val="18"/>
              </w:rPr>
              <w:t>Plaie de cornée</w:t>
            </w:r>
          </w:p>
        </w:tc>
        <w:tc>
          <w:tcPr>
            <w:tcW w:w="973" w:type="dxa"/>
            <w:vAlign w:val="top"/>
          </w:tcPr>
          <w:p>
            <w:pPr>
              <w:pStyle w:val="10"/>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ind w:left="0" w:leftChars="0" w:firstLine="0" w:firstLineChars="0"/>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lang w:val="fr-FR"/>
              </w:rPr>
              <w:t>3</w:t>
            </w:r>
          </w:p>
        </w:tc>
        <w:tc>
          <w:tcPr>
            <w:tcW w:w="869" w:type="dxa"/>
            <w:vAlign w:val="top"/>
          </w:tcPr>
          <w:p>
            <w:pPr>
              <w:pStyle w:val="10"/>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ind w:left="440" w:leftChars="0" w:hanging="220" w:firstLineChars="0"/>
              <w:jc w:val="both"/>
              <w:textAlignment w:val="auto"/>
              <w:rPr>
                <w:rFonts w:ascii="Times New Roman" w:hAnsi="Times New Roman"/>
                <w:bCs/>
                <w:color w:val="000000"/>
                <w:sz w:val="18"/>
                <w:szCs w:val="18"/>
              </w:rPr>
            </w:pPr>
            <w:r>
              <w:rPr>
                <w:rFonts w:hint="default" w:ascii="Times New Roman" w:hAnsi="Times New Roman" w:cs="Times New Roman"/>
                <w:color w:val="000000"/>
                <w:sz w:val="18"/>
                <w:szCs w:val="18"/>
                <w:lang w:val="fr-FR"/>
              </w:rPr>
              <w:t>10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94" w:type="dxa"/>
            <w:tcBorders>
              <w:left w:val="nil"/>
              <w:right w:val="nil"/>
            </w:tcBorders>
            <w:shd w:val="clear" w:color="auto" w:fill="D3DFEE"/>
            <w:vAlign w:val="top"/>
          </w:tcPr>
          <w:p>
            <w:pPr>
              <w:pStyle w:val="10"/>
              <w:keepNext w:val="0"/>
              <w:keepLines w:val="0"/>
              <w:pageBreakBefore w:val="0"/>
              <w:widowControl/>
              <w:numPr>
                <w:ilvl w:val="0"/>
                <w:numId w:val="6"/>
              </w:numPr>
              <w:tabs>
                <w:tab w:val="left" w:pos="2790"/>
              </w:tabs>
              <w:kinsoku/>
              <w:wordWrap/>
              <w:overflowPunct/>
              <w:topLinePunct w:val="0"/>
              <w:autoSpaceDE/>
              <w:autoSpaceDN/>
              <w:bidi w:val="0"/>
              <w:adjustRightInd/>
              <w:snapToGrid/>
              <w:spacing w:beforeAutospacing="0" w:after="0" w:afterAutospacing="0" w:line="240" w:lineRule="auto"/>
              <w:ind w:left="440" w:leftChars="0" w:hanging="220" w:firstLineChars="0"/>
              <w:jc w:val="left"/>
              <w:textAlignment w:val="auto"/>
              <w:rPr>
                <w:rFonts w:ascii="Times New Roman" w:hAnsi="Times New Roman"/>
                <w:b/>
                <w:bCs/>
                <w:color w:val="000000"/>
                <w:sz w:val="18"/>
                <w:szCs w:val="18"/>
              </w:rPr>
            </w:pPr>
            <w:r>
              <w:rPr>
                <w:rFonts w:hint="default" w:ascii="Times New Roman" w:hAnsi="Times New Roman" w:cs="Times New Roman"/>
                <w:b w:val="0"/>
                <w:bCs/>
                <w:color w:val="000000"/>
                <w:sz w:val="18"/>
                <w:szCs w:val="18"/>
              </w:rPr>
              <w:t xml:space="preserve">Tyndall </w:t>
            </w:r>
            <w:r>
              <w:rPr>
                <w:rFonts w:hint="default" w:ascii="Times New Roman" w:hAnsi="Times New Roman" w:cs="Times New Roman"/>
                <w:b w:val="0"/>
                <w:bCs/>
                <w:color w:val="000000"/>
                <w:sz w:val="18"/>
                <w:szCs w:val="18"/>
                <w:lang w:val="fr-FR"/>
              </w:rPr>
              <w:t>c</w:t>
            </w:r>
            <w:r>
              <w:rPr>
                <w:rFonts w:hint="default" w:ascii="Times New Roman" w:hAnsi="Times New Roman" w:cs="Times New Roman"/>
                <w:b w:val="0"/>
                <w:bCs/>
                <w:color w:val="000000"/>
                <w:sz w:val="18"/>
                <w:szCs w:val="18"/>
              </w:rPr>
              <w:t>hambre Antérieure</w:t>
            </w:r>
          </w:p>
        </w:tc>
        <w:tc>
          <w:tcPr>
            <w:tcW w:w="973" w:type="dxa"/>
            <w:tcBorders>
              <w:left w:val="nil"/>
              <w:right w:val="nil"/>
            </w:tcBorders>
            <w:shd w:val="clear" w:color="auto" w:fill="D3DFEE"/>
            <w:vAlign w:val="top"/>
          </w:tcPr>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b/>
                <w:color w:val="000000"/>
                <w:sz w:val="18"/>
                <w:szCs w:val="18"/>
              </w:rPr>
            </w:pPr>
            <w:r>
              <w:rPr>
                <w:rFonts w:hint="default" w:ascii="Times New Roman" w:hAnsi="Times New Roman" w:cs="Times New Roman"/>
                <w:color w:val="000000"/>
                <w:sz w:val="18"/>
                <w:szCs w:val="18"/>
              </w:rPr>
              <w:t>6</w:t>
            </w:r>
          </w:p>
        </w:tc>
        <w:tc>
          <w:tcPr>
            <w:tcW w:w="869" w:type="dxa"/>
            <w:tcBorders>
              <w:left w:val="nil"/>
              <w:right w:val="nil"/>
            </w:tcBorders>
            <w:shd w:val="clear" w:color="auto" w:fill="D3DFEE"/>
            <w:vAlign w:val="top"/>
          </w:tcPr>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b/>
                <w:color w:val="000000"/>
                <w:sz w:val="18"/>
                <w:szCs w:val="18"/>
              </w:rPr>
            </w:pPr>
            <w:r>
              <w:rPr>
                <w:rFonts w:hint="default" w:ascii="Times New Roman" w:hAnsi="Times New Roman" w:cs="Times New Roman"/>
                <w:color w:val="000000"/>
                <w:sz w:val="18"/>
                <w:szCs w:val="18"/>
              </w:rPr>
              <w:t>20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94" w:type="dxa"/>
            <w:vAlign w:val="top"/>
          </w:tcPr>
          <w:p>
            <w:pPr>
              <w:pStyle w:val="10"/>
              <w:keepNext w:val="0"/>
              <w:keepLines w:val="0"/>
              <w:pageBreakBefore w:val="0"/>
              <w:widowControl/>
              <w:numPr>
                <w:ilvl w:val="0"/>
                <w:numId w:val="6"/>
              </w:numPr>
              <w:tabs>
                <w:tab w:val="left" w:pos="2790"/>
              </w:tabs>
              <w:kinsoku/>
              <w:wordWrap/>
              <w:overflowPunct/>
              <w:topLinePunct w:val="0"/>
              <w:autoSpaceDE/>
              <w:autoSpaceDN/>
              <w:bidi w:val="0"/>
              <w:adjustRightInd/>
              <w:snapToGrid/>
              <w:spacing w:beforeAutospacing="0" w:after="0" w:afterAutospacing="0" w:line="240" w:lineRule="auto"/>
              <w:ind w:left="440" w:leftChars="0" w:hanging="220" w:firstLineChars="0"/>
              <w:jc w:val="left"/>
              <w:textAlignment w:val="auto"/>
              <w:rPr>
                <w:rFonts w:ascii="Times New Roman" w:hAnsi="Times New Roman"/>
                <w:b/>
                <w:bCs/>
                <w:color w:val="000000"/>
                <w:sz w:val="18"/>
                <w:szCs w:val="18"/>
              </w:rPr>
            </w:pPr>
            <w:r>
              <w:rPr>
                <w:rFonts w:hint="default" w:ascii="Times New Roman" w:hAnsi="Times New Roman" w:cs="Times New Roman"/>
                <w:b w:val="0"/>
                <w:bCs/>
                <w:color w:val="000000"/>
                <w:sz w:val="18"/>
                <w:szCs w:val="18"/>
              </w:rPr>
              <w:t>Hypopion</w:t>
            </w:r>
          </w:p>
        </w:tc>
        <w:tc>
          <w:tcPr>
            <w:tcW w:w="973" w:type="dxa"/>
            <w:vAlign w:val="top"/>
          </w:tcPr>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bCs/>
                <w:color w:val="000000"/>
                <w:sz w:val="18"/>
                <w:szCs w:val="18"/>
              </w:rPr>
              <w:t>20</w:t>
            </w:r>
          </w:p>
        </w:tc>
        <w:tc>
          <w:tcPr>
            <w:tcW w:w="869" w:type="dxa"/>
            <w:vAlign w:val="top"/>
          </w:tcPr>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bCs/>
                <w:color w:val="000000"/>
                <w:sz w:val="18"/>
                <w:szCs w:val="18"/>
              </w:rPr>
              <w:t>66,66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94" w:type="dxa"/>
            <w:tcBorders>
              <w:left w:val="nil"/>
              <w:right w:val="nil"/>
            </w:tcBorders>
            <w:shd w:val="clear" w:color="auto" w:fill="D3DFEE"/>
            <w:vAlign w:val="top"/>
          </w:tcPr>
          <w:p>
            <w:pPr>
              <w:pStyle w:val="10"/>
              <w:keepNext w:val="0"/>
              <w:keepLines w:val="0"/>
              <w:pageBreakBefore w:val="0"/>
              <w:widowControl/>
              <w:numPr>
                <w:ilvl w:val="0"/>
                <w:numId w:val="6"/>
              </w:numPr>
              <w:tabs>
                <w:tab w:val="left" w:pos="2790"/>
              </w:tabs>
              <w:kinsoku/>
              <w:wordWrap/>
              <w:overflowPunct/>
              <w:topLinePunct w:val="0"/>
              <w:autoSpaceDE/>
              <w:autoSpaceDN/>
              <w:bidi w:val="0"/>
              <w:adjustRightInd/>
              <w:snapToGrid/>
              <w:spacing w:beforeAutospacing="0" w:after="0" w:afterAutospacing="0" w:line="240" w:lineRule="auto"/>
              <w:ind w:left="440" w:leftChars="0" w:hanging="220" w:firstLineChars="0"/>
              <w:jc w:val="left"/>
              <w:textAlignment w:val="auto"/>
              <w:rPr>
                <w:rFonts w:ascii="Times New Roman" w:hAnsi="Times New Roman"/>
                <w:b/>
                <w:bCs/>
                <w:color w:val="000000"/>
                <w:sz w:val="18"/>
                <w:szCs w:val="18"/>
              </w:rPr>
            </w:pPr>
            <w:r>
              <w:rPr>
                <w:rFonts w:hint="default" w:ascii="Times New Roman" w:hAnsi="Times New Roman" w:cs="Times New Roman"/>
                <w:b w:val="0"/>
                <w:bCs/>
                <w:color w:val="000000"/>
                <w:sz w:val="18"/>
                <w:szCs w:val="18"/>
              </w:rPr>
              <w:t>Atteintes iriennes</w:t>
            </w:r>
          </w:p>
        </w:tc>
        <w:tc>
          <w:tcPr>
            <w:tcW w:w="973" w:type="dxa"/>
            <w:tcBorders>
              <w:left w:val="nil"/>
              <w:right w:val="nil"/>
            </w:tcBorders>
            <w:shd w:val="clear" w:color="auto" w:fill="D3DFEE"/>
            <w:vAlign w:val="top"/>
          </w:tcPr>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9</w:t>
            </w:r>
          </w:p>
        </w:tc>
        <w:tc>
          <w:tcPr>
            <w:tcW w:w="869" w:type="dxa"/>
            <w:tcBorders>
              <w:left w:val="nil"/>
              <w:right w:val="nil"/>
            </w:tcBorders>
            <w:shd w:val="clear" w:color="auto" w:fill="D3DFEE"/>
            <w:vAlign w:val="top"/>
          </w:tcPr>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30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vAlign w:val="top"/>
          </w:tcPr>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left"/>
              <w:textAlignment w:val="auto"/>
              <w:rPr>
                <w:rFonts w:ascii="Times New Roman" w:hAnsi="Times New Roman"/>
                <w:bCs/>
                <w:color w:val="000000"/>
                <w:sz w:val="18"/>
                <w:szCs w:val="18"/>
              </w:rPr>
            </w:pPr>
            <w:r>
              <w:rPr>
                <w:rFonts w:hint="default" w:ascii="Times New Roman" w:hAnsi="Times New Roman" w:cs="Times New Roman"/>
                <w:b/>
                <w:bCs/>
                <w:color w:val="000000"/>
                <w:sz w:val="18"/>
                <w:szCs w:val="18"/>
              </w:rPr>
              <w:t>Segment postérieur</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94" w:type="dxa"/>
            <w:tcBorders>
              <w:left w:val="nil"/>
              <w:right w:val="nil"/>
            </w:tcBorders>
            <w:shd w:val="clear" w:color="auto" w:fill="D3DFEE"/>
            <w:vAlign w:val="top"/>
          </w:tcPr>
          <w:p>
            <w:pPr>
              <w:pStyle w:val="10"/>
              <w:keepNext w:val="0"/>
              <w:keepLines w:val="0"/>
              <w:pageBreakBefore w:val="0"/>
              <w:widowControl/>
              <w:numPr>
                <w:ilvl w:val="0"/>
                <w:numId w:val="6"/>
              </w:numPr>
              <w:tabs>
                <w:tab w:val="left" w:pos="2790"/>
              </w:tabs>
              <w:kinsoku/>
              <w:wordWrap/>
              <w:overflowPunct/>
              <w:topLinePunct w:val="0"/>
              <w:autoSpaceDE/>
              <w:autoSpaceDN/>
              <w:bidi w:val="0"/>
              <w:adjustRightInd/>
              <w:snapToGrid/>
              <w:spacing w:beforeAutospacing="0" w:after="0" w:afterAutospacing="0" w:line="240" w:lineRule="auto"/>
              <w:ind w:left="440" w:leftChars="0" w:hanging="220" w:firstLineChars="0"/>
              <w:jc w:val="left"/>
              <w:textAlignment w:val="auto"/>
              <w:rPr>
                <w:rFonts w:ascii="Times New Roman" w:hAnsi="Times New Roman"/>
                <w:b/>
                <w:bCs/>
                <w:color w:val="000000"/>
                <w:sz w:val="18"/>
                <w:szCs w:val="18"/>
              </w:rPr>
            </w:pPr>
            <w:r>
              <w:rPr>
                <w:rFonts w:hint="default" w:ascii="Times New Roman" w:hAnsi="Times New Roman" w:cs="Times New Roman"/>
                <w:b w:val="0"/>
                <w:bCs/>
                <w:color w:val="000000"/>
                <w:sz w:val="18"/>
                <w:szCs w:val="18"/>
              </w:rPr>
              <w:t>Tyndall vitréen antérieur (FO</w:t>
            </w:r>
            <w:r>
              <w:rPr>
                <w:rFonts w:hint="default" w:ascii="Times New Roman" w:hAnsi="Times New Roman" w:cs="Times New Roman"/>
                <w:b w:val="0"/>
                <w:bCs/>
                <w:color w:val="000000"/>
                <w:sz w:val="18"/>
                <w:szCs w:val="18"/>
                <w:lang w:val="fr-FR"/>
              </w:rPr>
              <w:t>*</w:t>
            </w:r>
            <w:r>
              <w:rPr>
                <w:rFonts w:hint="default" w:ascii="Times New Roman" w:hAnsi="Times New Roman" w:cs="Times New Roman"/>
                <w:b w:val="0"/>
                <w:bCs/>
                <w:color w:val="000000"/>
                <w:sz w:val="18"/>
                <w:szCs w:val="18"/>
              </w:rPr>
              <w:t xml:space="preserve"> accessible)</w:t>
            </w:r>
          </w:p>
        </w:tc>
        <w:tc>
          <w:tcPr>
            <w:tcW w:w="973" w:type="dxa"/>
            <w:tcBorders>
              <w:left w:val="nil"/>
              <w:right w:val="nil"/>
            </w:tcBorders>
            <w:shd w:val="clear" w:color="auto" w:fill="D3DFEE"/>
            <w:vAlign w:val="top"/>
          </w:tcPr>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b/>
                <w:color w:val="000000"/>
                <w:sz w:val="18"/>
                <w:szCs w:val="18"/>
              </w:rPr>
            </w:pPr>
            <w:r>
              <w:rPr>
                <w:rFonts w:hint="default" w:ascii="Times New Roman" w:hAnsi="Times New Roman" w:cs="Times New Roman"/>
                <w:bCs/>
                <w:color w:val="000000"/>
                <w:sz w:val="18"/>
                <w:szCs w:val="18"/>
              </w:rPr>
              <w:t>2</w:t>
            </w:r>
          </w:p>
        </w:tc>
        <w:tc>
          <w:tcPr>
            <w:tcW w:w="869" w:type="dxa"/>
            <w:tcBorders>
              <w:left w:val="nil"/>
              <w:right w:val="nil"/>
            </w:tcBorders>
            <w:shd w:val="clear" w:color="auto" w:fill="D3DFEE"/>
            <w:vAlign w:val="top"/>
          </w:tcPr>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b/>
                <w:color w:val="000000"/>
                <w:sz w:val="18"/>
                <w:szCs w:val="18"/>
              </w:rPr>
            </w:pPr>
            <w:r>
              <w:rPr>
                <w:rFonts w:hint="default" w:ascii="Times New Roman" w:hAnsi="Times New Roman" w:cs="Times New Roman"/>
                <w:bCs/>
                <w:color w:val="000000"/>
                <w:sz w:val="18"/>
                <w:szCs w:val="18"/>
              </w:rPr>
              <w:t>6,66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vAlign w:val="top"/>
          </w:tcPr>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left"/>
              <w:textAlignment w:val="auto"/>
              <w:rPr>
                <w:rFonts w:ascii="Times New Roman" w:hAnsi="Times New Roman"/>
                <w:color w:val="000000"/>
                <w:sz w:val="18"/>
                <w:szCs w:val="18"/>
              </w:rPr>
            </w:pPr>
            <w:r>
              <w:rPr>
                <w:rFonts w:hint="default" w:ascii="Times New Roman" w:hAnsi="Times New Roman" w:cs="Times New Roman"/>
                <w:bCs/>
                <w:color w:val="000000"/>
                <w:sz w:val="16"/>
                <w:szCs w:val="16"/>
                <w:lang w:val="fr-FR"/>
              </w:rPr>
              <w:t>*FO: Fond d’oeil</w:t>
            </w:r>
          </w:p>
        </w:tc>
      </w:tr>
    </w:tbl>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r>
        <w:rPr>
          <w:sz w:val="20"/>
        </w:rPr>
        <mc:AlternateContent>
          <mc:Choice Requires="wps">
            <w:drawing>
              <wp:anchor distT="0" distB="0" distL="114300" distR="114300" simplePos="0" relativeHeight="251664384" behindDoc="0" locked="0" layoutInCell="1" allowOverlap="1">
                <wp:simplePos x="0" y="0"/>
                <wp:positionH relativeFrom="column">
                  <wp:posOffset>-79375</wp:posOffset>
                </wp:positionH>
                <wp:positionV relativeFrom="page">
                  <wp:posOffset>3659505</wp:posOffset>
                </wp:positionV>
                <wp:extent cx="3118485" cy="2296795"/>
                <wp:effectExtent l="0" t="0" r="5715" b="8255"/>
                <wp:wrapNone/>
                <wp:docPr id="22" name="Zone de texte 22"/>
                <wp:cNvGraphicFramePr/>
                <a:graphic xmlns:a="http://schemas.openxmlformats.org/drawingml/2006/main">
                  <a:graphicData uri="http://schemas.microsoft.com/office/word/2010/wordprocessingShape">
                    <wps:wsp>
                      <wps:cNvSpPr txBox="1"/>
                      <wps:spPr>
                        <a:xfrm>
                          <a:off x="711200" y="5139690"/>
                          <a:ext cx="3118485" cy="22967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right="0" w:rightChars="0" w:firstLine="0" w:firstLineChars="0"/>
                              <w:jc w:val="center"/>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114300" distR="114300">
                                  <wp:extent cx="2694305" cy="1847215"/>
                                  <wp:effectExtent l="0" t="0" r="10795" b="635"/>
                                  <wp:docPr id="4" name="Image 4" descr="C:\Users\MED CHEF\Desktop\IMAGE I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C:\Users\MED CHEF\Desktop\IMAGE IMP.jpg"/>
                                          <pic:cNvPicPr>
                                            <a:picLocks noChangeAspect="1" noChangeArrowheads="1"/>
                                          </pic:cNvPicPr>
                                        </pic:nvPicPr>
                                        <pic:blipFill>
                                          <a:blip r:embed="rId7">
                                            <a:extLst>
                                              <a:ext uri="{28A0092B-C50C-407E-A947-70E740481C1C}">
                                                <a14:useLocalDpi xmlns:a14="http://schemas.microsoft.com/office/drawing/2010/main" val="0"/>
                                              </a:ext>
                                            </a:extLst>
                                          </a:blip>
                                          <a:srcRect l="34857" t="50184" r="40173" b="32501"/>
                                          <a:stretch>
                                            <a:fillRect/>
                                          </a:stretch>
                                        </pic:blipFill>
                                        <pic:spPr>
                                          <a:xfrm>
                                            <a:off x="0" y="0"/>
                                            <a:ext cx="2694305" cy="1847215"/>
                                          </a:xfrm>
                                          <a:prstGeom prst="rect">
                                            <a:avLst/>
                                          </a:prstGeom>
                                          <a:noFill/>
                                          <a:ln>
                                            <a:noFill/>
                                          </a:ln>
                                        </pic:spPr>
                                      </pic:pic>
                                    </a:graphicData>
                                  </a:graphic>
                                </wp:inline>
                              </w:drawing>
                            </w:r>
                          </w:p>
                          <w:p>
                            <w:pPr>
                              <w:ind w:left="0" w:leftChars="0" w:right="0" w:rightChars="0" w:firstLine="0" w:firstLineChars="0"/>
                              <w:jc w:val="center"/>
                              <w:rPr>
                                <w:rFonts w:hint="default" w:ascii="Times New Roman" w:hAnsi="Times New Roman" w:cs="Times New Roman"/>
                                <w:sz w:val="18"/>
                                <w:szCs w:val="18"/>
                                <w:lang w:eastAsia="fr-FR"/>
                              </w:rPr>
                            </w:pPr>
                            <w:r>
                              <w:rPr>
                                <w:rFonts w:hint="default" w:ascii="Times New Roman" w:hAnsi="Times New Roman" w:cs="Times New Roman"/>
                                <w:b/>
                                <w:sz w:val="18"/>
                                <w:szCs w:val="18"/>
                                <w:u w:val="single"/>
                              </w:rPr>
                              <w:t>Figure 1:</w:t>
                            </w:r>
                            <w:r>
                              <w:rPr>
                                <w:rFonts w:hint="default" w:ascii="Times New Roman" w:hAnsi="Times New Roman" w:cs="Times New Roman"/>
                                <w:sz w:val="18"/>
                                <w:szCs w:val="18"/>
                              </w:rPr>
                              <w:t xml:space="preserve"> Abcès de cornée (photo du Dr Bilong 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5pt;margin-top:288.15pt;height:180.85pt;width:245.55pt;mso-position-vertical-relative:page;z-index:251664384;mso-width-relative:page;mso-height-relative:page;" fillcolor="#FFFFFF [3201]" filled="t" stroked="f" coordsize="21600,21600" o:gfxdata="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ynQKz9QAAAAIAQAADwAAAAAAAAABACAAAAAiAAAAZHJzL2Rvd25yZXYueG1s&#10;UEsBAhQAFAAAAAgAh07iQMAUnP81AgAAUwQAAA4AAAAAAAAAAQAgAAAAIwEAAGRycy9lMm9Eb2Mu&#10;eG1sUEsFBgAAAAAGAAYAWQEAAMoFAAAAAA==&#10;">
                <v:fill on="t" focussize="0,0"/>
                <v:stroke on="f" weight="0.5pt"/>
                <v:imagedata o:title=""/>
                <o:lock v:ext="edit" aspectratio="f"/>
                <v:textbox>
                  <w:txbxContent>
                    <w:p>
                      <w:pPr>
                        <w:ind w:left="0" w:leftChars="0" w:right="0" w:rightChars="0" w:firstLine="0" w:firstLineChars="0"/>
                        <w:jc w:val="center"/>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114300" distR="114300">
                            <wp:extent cx="2694305" cy="1847215"/>
                            <wp:effectExtent l="0" t="0" r="10795" b="635"/>
                            <wp:docPr id="4" name="Image 4" descr="C:\Users\MED CHEF\Desktop\IMAGE I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C:\Users\MED CHEF\Desktop\IMAGE IMP.jpg"/>
                                    <pic:cNvPicPr>
                                      <a:picLocks noChangeAspect="1" noChangeArrowheads="1"/>
                                    </pic:cNvPicPr>
                                  </pic:nvPicPr>
                                  <pic:blipFill>
                                    <a:blip r:embed="rId7">
                                      <a:extLst>
                                        <a:ext uri="{28A0092B-C50C-407E-A947-70E740481C1C}">
                                          <a14:useLocalDpi xmlns:a14="http://schemas.microsoft.com/office/drawing/2010/main" val="0"/>
                                        </a:ext>
                                      </a:extLst>
                                    </a:blip>
                                    <a:srcRect l="34857" t="50184" r="40173" b="32501"/>
                                    <a:stretch>
                                      <a:fillRect/>
                                    </a:stretch>
                                  </pic:blipFill>
                                  <pic:spPr>
                                    <a:xfrm>
                                      <a:off x="0" y="0"/>
                                      <a:ext cx="2694305" cy="1847215"/>
                                    </a:xfrm>
                                    <a:prstGeom prst="rect">
                                      <a:avLst/>
                                    </a:prstGeom>
                                    <a:noFill/>
                                    <a:ln>
                                      <a:noFill/>
                                    </a:ln>
                                  </pic:spPr>
                                </pic:pic>
                              </a:graphicData>
                            </a:graphic>
                          </wp:inline>
                        </w:drawing>
                      </w:r>
                    </w:p>
                    <w:p>
                      <w:pPr>
                        <w:ind w:left="0" w:leftChars="0" w:right="0" w:rightChars="0" w:firstLine="0" w:firstLineChars="0"/>
                        <w:jc w:val="center"/>
                        <w:rPr>
                          <w:rFonts w:hint="default" w:ascii="Times New Roman" w:hAnsi="Times New Roman" w:cs="Times New Roman"/>
                          <w:sz w:val="18"/>
                          <w:szCs w:val="18"/>
                          <w:lang w:eastAsia="fr-FR"/>
                        </w:rPr>
                      </w:pPr>
                      <w:r>
                        <w:rPr>
                          <w:rFonts w:hint="default" w:ascii="Times New Roman" w:hAnsi="Times New Roman" w:cs="Times New Roman"/>
                          <w:b/>
                          <w:sz w:val="18"/>
                          <w:szCs w:val="18"/>
                          <w:u w:val="single"/>
                        </w:rPr>
                        <w:t>Figure 1:</w:t>
                      </w:r>
                      <w:r>
                        <w:rPr>
                          <w:rFonts w:hint="default" w:ascii="Times New Roman" w:hAnsi="Times New Roman" w:cs="Times New Roman"/>
                          <w:sz w:val="18"/>
                          <w:szCs w:val="18"/>
                        </w:rPr>
                        <w:t xml:space="preserve"> Abcès de cornée (photo du Dr Bilong Y)</w:t>
                      </w:r>
                    </w:p>
                  </w:txbxContent>
                </v:textbox>
              </v:shape>
            </w:pict>
          </mc:Fallback>
        </mc:AlternateConten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figure 1 montre l’image d’un abcès de cornée avec perforation du globe après chirurgie de cataracte.</w: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0"/>
          <w:szCs w:val="20"/>
        </w:rPr>
      </w:pPr>
    </w:p>
    <w:p>
      <w:pPr>
        <w:pStyle w:val="10"/>
        <w:keepNext w:val="0"/>
        <w:keepLines w:val="0"/>
        <w:pageBreakBefore w:val="0"/>
        <w:widowControl/>
        <w:numPr>
          <w:ilvl w:val="0"/>
          <w:numId w:val="0"/>
        </w:numPr>
        <w:tabs>
          <w:tab w:val="left" w:pos="2790"/>
        </w:tabs>
        <w:kinsoku/>
        <w:wordWrap/>
        <w:overflowPunct/>
        <w:topLinePunct w:val="0"/>
        <w:autoSpaceDE/>
        <w:autoSpaceDN/>
        <w:bidi w:val="0"/>
        <w:adjustRightInd/>
        <w:snapToGrid/>
        <w:spacing w:before="60" w:beforeAutospacing="0" w:after="20" w:afterAutospacing="0" w:line="240" w:lineRule="auto"/>
        <w:jc w:val="both"/>
        <w:textAlignment w:val="auto"/>
        <w:rPr>
          <w:rFonts w:hint="default" w:ascii="Times New Roman" w:hAnsi="Times New Roman" w:cs="Times New Roman"/>
          <w:b/>
          <w:bCs/>
          <w:sz w:val="20"/>
          <w:szCs w:val="20"/>
        </w:rPr>
      </w:pPr>
    </w:p>
    <w:p>
      <w:pPr>
        <w:pStyle w:val="10"/>
        <w:keepNext w:val="0"/>
        <w:keepLines w:val="0"/>
        <w:pageBreakBefore w:val="0"/>
        <w:widowControl/>
        <w:numPr>
          <w:ilvl w:val="0"/>
          <w:numId w:val="0"/>
        </w:numPr>
        <w:tabs>
          <w:tab w:val="left" w:pos="2790"/>
        </w:tabs>
        <w:kinsoku/>
        <w:wordWrap/>
        <w:overflowPunct/>
        <w:topLinePunct w:val="0"/>
        <w:autoSpaceDE/>
        <w:autoSpaceDN/>
        <w:bidi w:val="0"/>
        <w:adjustRightInd/>
        <w:snapToGrid/>
        <w:spacing w:before="60" w:beforeAutospacing="0" w:after="20" w:afterAutospacing="0" w:line="240" w:lineRule="auto"/>
        <w:jc w:val="both"/>
        <w:textAlignment w:val="auto"/>
        <w:rPr>
          <w:rFonts w:hint="default" w:ascii="Times New Roman" w:hAnsi="Times New Roman" w:cs="Times New Roman"/>
          <w:b/>
          <w:bCs/>
          <w:sz w:val="20"/>
          <w:szCs w:val="20"/>
        </w:rPr>
      </w:pPr>
    </w:p>
    <w:p>
      <w:pPr>
        <w:pStyle w:val="10"/>
        <w:keepNext w:val="0"/>
        <w:keepLines w:val="0"/>
        <w:pageBreakBefore w:val="0"/>
        <w:widowControl/>
        <w:numPr>
          <w:ilvl w:val="0"/>
          <w:numId w:val="0"/>
        </w:numPr>
        <w:tabs>
          <w:tab w:val="left" w:pos="2790"/>
        </w:tabs>
        <w:kinsoku/>
        <w:wordWrap/>
        <w:overflowPunct/>
        <w:topLinePunct w:val="0"/>
        <w:autoSpaceDE/>
        <w:autoSpaceDN/>
        <w:bidi w:val="0"/>
        <w:adjustRightInd/>
        <w:snapToGrid/>
        <w:spacing w:before="60" w:beforeAutospacing="0" w:after="20" w:afterAutospacing="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Caractéristiques étiologiques</w: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Cs/>
          <w:sz w:val="20"/>
          <w:szCs w:val="20"/>
        </w:rPr>
      </w:pPr>
      <w:r>
        <w:rPr>
          <w:rFonts w:hint="default" w:ascii="Times New Roman" w:hAnsi="Times New Roman" w:cs="Times New Roman"/>
          <w:bCs/>
          <w:sz w:val="20"/>
          <w:szCs w:val="20"/>
        </w:rPr>
        <w:t>Les 15 yeux traumatisés étaient tous pris en charge une fois le diagnostic posé.</w: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Cs/>
          <w:sz w:val="20"/>
          <w:szCs w:val="20"/>
        </w:rPr>
      </w:pPr>
      <w:r>
        <w:rPr>
          <w:rFonts w:hint="default" w:ascii="Times New Roman" w:hAnsi="Times New Roman" w:cs="Times New Roman"/>
          <w:bCs/>
          <w:sz w:val="20"/>
          <w:szCs w:val="20"/>
          <w:lang w:val="fr-FR"/>
        </w:rPr>
        <w:t xml:space="preserve">Des prélèvements cyto-bactériologiques ont été réalisés sur 5 yeux à la recherche d’agent microbien. </w:t>
      </w:r>
      <w:r>
        <w:rPr>
          <w:rFonts w:hint="default" w:ascii="Times New Roman" w:hAnsi="Times New Roman" w:cs="Times New Roman"/>
          <w:bCs/>
          <w:sz w:val="20"/>
          <w:szCs w:val="20"/>
        </w:rPr>
        <w:t>Klebsiella pneumoniae avait été isolé dans un seul prélèvement, les 4 autres étaient négatifs.</w: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Cs/>
          <w:sz w:val="20"/>
          <w:szCs w:val="20"/>
        </w:rPr>
      </w:pPr>
      <w:r>
        <w:rPr>
          <w:rFonts w:hint="default" w:ascii="Times New Roman" w:hAnsi="Times New Roman" w:cs="Times New Roman"/>
          <w:bCs/>
          <w:sz w:val="20"/>
          <w:szCs w:val="20"/>
        </w:rPr>
        <w:t>Aucune endophtalmie après traitement par injection intra vitréenne de corticoïdes ou d’anti vascular endothelial growth factors n’</w:t>
      </w:r>
      <w:r>
        <w:rPr>
          <w:rFonts w:hint="default" w:ascii="Times New Roman" w:hAnsi="Times New Roman" w:cs="Times New Roman"/>
          <w:bCs/>
          <w:sz w:val="20"/>
          <w:szCs w:val="20"/>
          <w:lang w:val="fr-FR"/>
        </w:rPr>
        <w:t xml:space="preserve">a </w:t>
      </w:r>
      <w:r>
        <w:rPr>
          <w:rFonts w:hint="default" w:ascii="Times New Roman" w:hAnsi="Times New Roman" w:cs="Times New Roman"/>
          <w:bCs/>
          <w:sz w:val="20"/>
          <w:szCs w:val="20"/>
        </w:rPr>
        <w:t>ét</w:t>
      </w:r>
      <w:r>
        <w:rPr>
          <w:rFonts w:hint="default" w:ascii="Times New Roman" w:hAnsi="Times New Roman" w:cs="Times New Roman"/>
          <w:bCs/>
          <w:sz w:val="20"/>
          <w:szCs w:val="20"/>
          <w:lang w:val="fr-FR"/>
        </w:rPr>
        <w:t>é</w:t>
      </w:r>
      <w:r>
        <w:rPr>
          <w:rFonts w:hint="default" w:ascii="Times New Roman" w:hAnsi="Times New Roman" w:cs="Times New Roman"/>
          <w:bCs/>
          <w:sz w:val="20"/>
          <w:szCs w:val="20"/>
        </w:rPr>
        <w:t xml:space="preserve"> observée.</w:t>
      </w:r>
    </w:p>
    <w:p>
      <w:pPr>
        <w:pStyle w:val="10"/>
        <w:keepNext w:val="0"/>
        <w:keepLines w:val="0"/>
        <w:pageBreakBefore w:val="0"/>
        <w:widowControl/>
        <w:numPr>
          <w:ilvl w:val="0"/>
          <w:numId w:val="0"/>
        </w:numPr>
        <w:tabs>
          <w:tab w:val="left" w:pos="2790"/>
        </w:tabs>
        <w:kinsoku/>
        <w:wordWrap/>
        <w:overflowPunct/>
        <w:topLinePunct w:val="0"/>
        <w:autoSpaceDE/>
        <w:autoSpaceDN/>
        <w:bidi w:val="0"/>
        <w:adjustRightInd/>
        <w:snapToGrid/>
        <w:spacing w:before="60" w:beforeAutospacing="0" w:after="20" w:afterAutospacing="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Prise en charge et évolution</w: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Cs/>
          <w:sz w:val="20"/>
          <w:szCs w:val="20"/>
        </w:rPr>
      </w:pPr>
      <w:r>
        <w:rPr>
          <w:rFonts w:hint="default" w:ascii="Times New Roman" w:hAnsi="Times New Roman" w:cs="Times New Roman"/>
          <w:bCs/>
          <w:sz w:val="20"/>
          <w:szCs w:val="20"/>
        </w:rPr>
        <w:t>Tous les patients avaient bénéficié d’une double antibiothérapie intra vitréenne et en instillation oculaire.</w: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Cs/>
          <w:sz w:val="20"/>
          <w:szCs w:val="20"/>
        </w:rPr>
      </w:pPr>
      <w:r>
        <w:rPr>
          <w:rFonts w:hint="default" w:ascii="Times New Roman" w:hAnsi="Times New Roman" w:cs="Times New Roman"/>
          <w:bCs/>
          <w:sz w:val="20"/>
          <w:szCs w:val="20"/>
        </w:rPr>
        <w:t>Une indication d’éviscération avec prothèse oculaire avait été posée.</w: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Cs/>
          <w:sz w:val="20"/>
          <w:szCs w:val="20"/>
        </w:rPr>
      </w:pPr>
      <w:r>
        <w:rPr>
          <w:rFonts w:hint="default" w:ascii="Times New Roman" w:hAnsi="Times New Roman" w:cs="Times New Roman"/>
          <w:bCs/>
          <w:sz w:val="20"/>
          <w:szCs w:val="20"/>
        </w:rPr>
        <w:t>Aucune vitrectomie de propreté n’avait été réalisée.</w:t>
      </w:r>
    </w:p>
    <w:p>
      <w:pPr>
        <w:keepNext w:val="0"/>
        <w:keepLines w:val="0"/>
        <w:pageBreakBefore w:val="0"/>
        <w:widowControl/>
        <w:tabs>
          <w:tab w:val="left" w:pos="2790"/>
        </w:tabs>
        <w:kinsoku/>
        <w:wordWrap/>
        <w:overflowPunct/>
        <w:topLinePunct w:val="0"/>
        <w:autoSpaceDE/>
        <w:autoSpaceDN/>
        <w:bidi w:val="0"/>
        <w:adjustRightInd/>
        <w:snapToGrid/>
        <w:spacing w:before="120" w:beforeAutospacing="0" w:after="40" w:afterAutospacing="0" w:line="240" w:lineRule="auto"/>
        <w:jc w:val="both"/>
        <w:textAlignment w:val="auto"/>
        <w:rPr>
          <w:rFonts w:hint="default" w:ascii="Times New Roman" w:hAnsi="Times New Roman" w:cs="Times New Roman"/>
          <w:b/>
          <w:bCs/>
          <w:iCs/>
          <w:sz w:val="20"/>
          <w:szCs w:val="20"/>
        </w:rPr>
      </w:pPr>
      <w:r>
        <w:rPr>
          <w:rFonts w:hint="default" w:ascii="Times New Roman" w:hAnsi="Times New Roman" w:cs="Times New Roman"/>
          <w:b/>
          <w:bCs/>
          <w:iCs/>
          <w:sz w:val="20"/>
          <w:szCs w:val="20"/>
        </w:rPr>
        <w:t>DISCUSSION</w:t>
      </w:r>
    </w:p>
    <w:p>
      <w:pPr>
        <w:pStyle w:val="10"/>
        <w:keepNext w:val="0"/>
        <w:keepLines w:val="0"/>
        <w:pageBreakBefore w:val="0"/>
        <w:widowControl/>
        <w:numPr>
          <w:ilvl w:val="0"/>
          <w:numId w:val="0"/>
        </w:numPr>
        <w:tabs>
          <w:tab w:val="left" w:pos="2790"/>
        </w:tabs>
        <w:kinsoku/>
        <w:wordWrap/>
        <w:overflowPunct/>
        <w:topLinePunct w:val="0"/>
        <w:autoSpaceDE/>
        <w:autoSpaceDN/>
        <w:bidi w:val="0"/>
        <w:adjustRightInd/>
        <w:snapToGrid/>
        <w:spacing w:before="60" w:beforeAutospacing="0" w:after="20" w:afterAutospacing="0" w:line="240" w:lineRule="auto"/>
        <w:jc w:val="both"/>
        <w:textAlignment w:val="auto"/>
        <w:rPr>
          <w:rFonts w:hint="default" w:ascii="Times New Roman" w:hAnsi="Times New Roman" w:cs="Times New Roman"/>
          <w:b/>
          <w:bCs/>
          <w:iCs/>
          <w:sz w:val="20"/>
          <w:szCs w:val="20"/>
        </w:rPr>
      </w:pPr>
      <w:r>
        <w:rPr>
          <w:rFonts w:hint="default" w:ascii="Times New Roman" w:hAnsi="Times New Roman" w:cs="Times New Roman"/>
          <w:b/>
          <w:bCs/>
          <w:iCs/>
          <w:sz w:val="20"/>
          <w:szCs w:val="20"/>
        </w:rPr>
        <w:t>Caractéristiques épidémiologiques</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Cs/>
          <w:sz w:val="20"/>
          <w:szCs w:val="20"/>
        </w:rPr>
      </w:pPr>
      <w:r>
        <w:rPr>
          <w:rFonts w:hint="default" w:ascii="Times New Roman" w:hAnsi="Times New Roman" w:cs="Times New Roman"/>
          <w:bCs/>
          <w:iCs/>
          <w:sz w:val="20"/>
          <w:szCs w:val="20"/>
        </w:rPr>
        <w:t xml:space="preserve">Les endophtalmies sont une atteinte rare mais grave du globe oculaire [6]. Trente cas sur dix ans étaient inférieurs au 41 cas retrouvés en 2005 sur 2 ans en France [13]. En Afrique au sud du Sahara, Braimah et al [12] au Ghana trouvaient 0,58% proche des 0,39% de notre série après chirurgie de cataracte. </w:t>
      </w:r>
      <w:r>
        <w:rPr>
          <w:rFonts w:hint="default" w:ascii="Times New Roman" w:hAnsi="Times New Roman" w:cs="Times New Roman"/>
          <w:sz w:val="20"/>
          <w:szCs w:val="20"/>
        </w:rPr>
        <w:t>Il faut par ailleurs noter que la fréquence des endophtalmies continue de diminuer et celle-ci serait certainement liée à l'a</w:t>
      </w:r>
      <w:r>
        <w:rPr>
          <w:rFonts w:hint="default" w:ascii="Times New Roman" w:hAnsi="Times New Roman" w:cs="Times New Roman"/>
          <w:sz w:val="20"/>
          <w:szCs w:val="20"/>
          <w:lang w:val="fr-FR"/>
        </w:rPr>
        <w:t>mélioration</w:t>
      </w:r>
      <w:r>
        <w:rPr>
          <w:rFonts w:hint="default" w:ascii="Times New Roman" w:hAnsi="Times New Roman" w:cs="Times New Roman"/>
          <w:sz w:val="20"/>
          <w:szCs w:val="20"/>
        </w:rPr>
        <w:t xml:space="preserve"> et au respect des règles d'asepsie dans les blocs opératoires [3,6,13,14]. Même si son pronostic s'est amélioré ces dernières années, son incidence reste variable selon certains auteurs [3,6,13,15,16].</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Cs/>
          <w:iCs/>
          <w:sz w:val="20"/>
          <w:szCs w:val="20"/>
        </w:rPr>
      </w:pPr>
      <w:r>
        <w:rPr>
          <w:rFonts w:hint="default" w:ascii="Times New Roman" w:hAnsi="Times New Roman" w:cs="Times New Roman"/>
          <w:bCs/>
          <w:iCs/>
          <w:sz w:val="20"/>
          <w:szCs w:val="20"/>
        </w:rPr>
        <w:t xml:space="preserve">L’âge moyen dans notre étude était de </w:t>
      </w:r>
      <w:r>
        <w:rPr>
          <w:rFonts w:hint="default" w:ascii="Times New Roman" w:hAnsi="Times New Roman" w:cs="Times New Roman"/>
          <w:sz w:val="20"/>
          <w:szCs w:val="20"/>
        </w:rPr>
        <w:t xml:space="preserve">47,86 ans, ce qui est inférieur aux </w:t>
      </w:r>
      <w:r>
        <w:rPr>
          <w:rFonts w:hint="default" w:ascii="Times New Roman" w:hAnsi="Times New Roman" w:cs="Times New Roman"/>
          <w:bCs/>
          <w:iCs/>
          <w:sz w:val="20"/>
          <w:szCs w:val="20"/>
        </w:rPr>
        <w:t>76,4 ans en France mais supérieur aux 34 ans d’âge médian au Ghana [12,13]. Ceci s’expliquerait par la méthodologie de chacune des études. Les personnes âgées de plus de 40 ans étaient les plus nombreuses dans notre série.</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Cs/>
          <w:iCs/>
          <w:sz w:val="20"/>
          <w:szCs w:val="20"/>
        </w:rPr>
      </w:pPr>
      <w:r>
        <w:rPr>
          <w:rFonts w:hint="default" w:ascii="Times New Roman" w:hAnsi="Times New Roman" w:cs="Times New Roman"/>
          <w:bCs/>
          <w:iCs/>
          <w:sz w:val="20"/>
          <w:szCs w:val="20"/>
        </w:rPr>
        <w:t>Le sex ratio est conforme aux données de la littérature [4,12]. Il révèle une plus grande exposition des hommes.</w:t>
      </w:r>
    </w:p>
    <w:p>
      <w:pPr>
        <w:pStyle w:val="10"/>
        <w:keepNext w:val="0"/>
        <w:keepLines w:val="0"/>
        <w:pageBreakBefore w:val="0"/>
        <w:widowControl/>
        <w:numPr>
          <w:ilvl w:val="0"/>
          <w:numId w:val="0"/>
        </w:numPr>
        <w:kinsoku/>
        <w:wordWrap/>
        <w:overflowPunct/>
        <w:topLinePunct w:val="0"/>
        <w:autoSpaceDE/>
        <w:autoSpaceDN/>
        <w:bidi w:val="0"/>
        <w:adjustRightInd/>
        <w:snapToGrid/>
        <w:spacing w:before="60" w:beforeAutospacing="0" w:after="20" w:afterAutospacing="0" w:line="240" w:lineRule="auto"/>
        <w:jc w:val="both"/>
        <w:textAlignment w:val="auto"/>
        <w:rPr>
          <w:rFonts w:hint="default" w:ascii="Times New Roman" w:hAnsi="Times New Roman" w:cs="Times New Roman"/>
          <w:b/>
          <w:bCs/>
          <w:iCs/>
          <w:sz w:val="20"/>
          <w:szCs w:val="20"/>
        </w:rPr>
      </w:pPr>
      <w:r>
        <w:rPr>
          <w:rFonts w:hint="default" w:ascii="Times New Roman" w:hAnsi="Times New Roman" w:cs="Times New Roman"/>
          <w:b/>
          <w:bCs/>
          <w:iCs/>
          <w:sz w:val="20"/>
          <w:szCs w:val="20"/>
        </w:rPr>
        <w:t>Caractéristiques cliniques et para cliniques</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
          <w:bCs/>
          <w:iCs/>
          <w:sz w:val="20"/>
          <w:szCs w:val="20"/>
        </w:rPr>
      </w:pPr>
      <w:r>
        <w:rPr>
          <w:rFonts w:hint="default" w:ascii="Times New Roman" w:hAnsi="Times New Roman" w:cs="Times New Roman"/>
          <w:bCs/>
          <w:iCs/>
          <w:sz w:val="20"/>
          <w:szCs w:val="20"/>
        </w:rPr>
        <w:t>Les motifs de consultation sont multiples et variés, toutefois la baisse d’acuité visuelle et la douleur sont quasi constantes en phase aiguë ou subaiguë. Ce qui est corroboré par les données de la littérature [4,6-8,13,17,18].</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Cs/>
          <w:iCs/>
          <w:sz w:val="20"/>
          <w:szCs w:val="20"/>
        </w:rPr>
      </w:pPr>
      <w:r>
        <w:rPr>
          <w:rFonts w:hint="default" w:ascii="Times New Roman" w:hAnsi="Times New Roman" w:cs="Times New Roman"/>
          <w:bCs/>
          <w:iCs/>
          <w:sz w:val="20"/>
          <w:szCs w:val="20"/>
        </w:rPr>
        <w:t>Étant donné la gravité de l’infection et l’évolutivité rapide des lésions, il apparaît indispensable de faire le diagnostic dans les meilleurs délais. Une reconnaissance rapide de l’endophtalmie conditionne directement sa prise en charge et le pronostic oculaire.</w:t>
      </w:r>
      <w:r>
        <w:rPr>
          <w:rFonts w:hint="default" w:ascii="Times New Roman" w:hAnsi="Times New Roman" w:cs="Times New Roman"/>
          <w:bCs/>
          <w:iCs/>
          <w:sz w:val="20"/>
          <w:szCs w:val="20"/>
          <w:lang w:val="fr-FR"/>
        </w:rPr>
        <w:t xml:space="preserve"> </w:t>
      </w:r>
      <w:r>
        <w:rPr>
          <w:rFonts w:hint="default" w:ascii="Times New Roman" w:hAnsi="Times New Roman" w:cs="Times New Roman"/>
          <w:bCs/>
          <w:iCs/>
          <w:sz w:val="20"/>
          <w:szCs w:val="20"/>
        </w:rPr>
        <w:t>Ces signes et symptômes non pathognomoniques selon de nombreux auteurs [3,7,13] étaient notés dans 70% des cas entre le troisième et le trentième jour dans notre contexte. En conséquence, les endophtalmies survenues dans les 7 premiers jours étaient classées en phase aigüe, tandis que celles observées entre le. 8</w:t>
      </w:r>
      <w:r>
        <w:rPr>
          <w:rFonts w:hint="default" w:ascii="Times New Roman" w:hAnsi="Times New Roman" w:cs="Times New Roman"/>
          <w:bCs/>
          <w:iCs/>
          <w:sz w:val="20"/>
          <w:szCs w:val="20"/>
          <w:vertAlign w:val="superscript"/>
        </w:rPr>
        <w:t>e</w:t>
      </w:r>
      <w:r>
        <w:rPr>
          <w:rFonts w:hint="default" w:ascii="Times New Roman" w:hAnsi="Times New Roman" w:cs="Times New Roman"/>
          <w:bCs/>
          <w:iCs/>
          <w:sz w:val="20"/>
          <w:szCs w:val="20"/>
        </w:rPr>
        <w:t xml:space="preserve"> et le 30</w:t>
      </w:r>
      <w:r>
        <w:rPr>
          <w:rFonts w:hint="default" w:ascii="Times New Roman" w:hAnsi="Times New Roman" w:cs="Times New Roman"/>
          <w:bCs/>
          <w:iCs/>
          <w:sz w:val="20"/>
          <w:szCs w:val="20"/>
          <w:vertAlign w:val="superscript"/>
        </w:rPr>
        <w:t>e</w:t>
      </w:r>
      <w:r>
        <w:rPr>
          <w:rFonts w:hint="default" w:ascii="Times New Roman" w:hAnsi="Times New Roman" w:cs="Times New Roman"/>
          <w:bCs/>
          <w:iCs/>
          <w:sz w:val="20"/>
          <w:szCs w:val="20"/>
        </w:rPr>
        <w:t xml:space="preserve"> jour étaient considérées en phase subaiguë selon de nombreux auteurs [4,7,9,13]. Cependant, les cas d’endophtalmies post chirurgie de la cataracte n’ont été observés qu’après trois mois dans notre série. Il s’agit donc de formes chroniques rentrant dans les 25% évoqués dans la littérature [4,7-9,13,18].</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Cs/>
          <w:iCs/>
          <w:sz w:val="20"/>
          <w:szCs w:val="20"/>
        </w:rPr>
      </w:pPr>
      <w:r>
        <w:rPr>
          <w:rFonts w:hint="default" w:ascii="Times New Roman" w:hAnsi="Times New Roman" w:cs="Times New Roman"/>
          <w:bCs/>
          <w:iCs/>
          <w:sz w:val="20"/>
          <w:szCs w:val="20"/>
        </w:rPr>
        <w:t>L’endophtalmie est grave car son évolution clinique dépend du délai diagnostique, de la virulence de l’inoculum infectieux, de la présence ou non d’un corps étranger, du statut immunitaire du patient, de la qualité de la prise en charge [19]. Et dans notre milieu, il faudrait y ajouter la capacité de financement des soins par le patient. Ces facteurs mettent en péril le pronostic fonctionnel et anatomique du globe oculaire, avec une évolution péjorative vers la cécité et la phtise. La cécité était notée dans 93,40% des yeux atteints dont 36,70% n’avaient aucune perception lumineuse. Pour certains auteurs, une acuité visuelle de 1/20</w:t>
      </w:r>
      <w:r>
        <w:rPr>
          <w:rFonts w:hint="default" w:ascii="Times New Roman" w:hAnsi="Times New Roman" w:cs="Times New Roman"/>
          <w:bCs/>
          <w:iCs/>
          <w:sz w:val="20"/>
          <w:szCs w:val="20"/>
          <w:vertAlign w:val="superscript"/>
        </w:rPr>
        <w:t>e</w:t>
      </w:r>
      <w:r>
        <w:rPr>
          <w:rFonts w:hint="default" w:ascii="Times New Roman" w:hAnsi="Times New Roman" w:cs="Times New Roman"/>
          <w:bCs/>
          <w:iCs/>
          <w:sz w:val="20"/>
          <w:szCs w:val="20"/>
        </w:rPr>
        <w:t xml:space="preserve"> est souvent conservée par un œil atteint d’endophtalmie chronique [8,18]. 9,90% </w:t>
      </w:r>
      <w:r>
        <w:rPr>
          <w:rFonts w:hint="default" w:ascii="Times New Roman" w:hAnsi="Times New Roman" w:cs="Times New Roman"/>
          <w:bCs/>
          <w:iCs/>
          <w:sz w:val="20"/>
          <w:szCs w:val="20"/>
          <w:lang w:val="fr-FR"/>
        </w:rPr>
        <w:t xml:space="preserve">de notre échantillon d’étude </w:t>
      </w:r>
      <w:r>
        <w:rPr>
          <w:rFonts w:hint="default" w:ascii="Times New Roman" w:hAnsi="Times New Roman" w:cs="Times New Roman"/>
          <w:bCs/>
          <w:iCs/>
          <w:sz w:val="20"/>
          <w:szCs w:val="20"/>
        </w:rPr>
        <w:t>corroboraient cette affirmation.</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Cs/>
          <w:iCs/>
          <w:sz w:val="20"/>
          <w:szCs w:val="20"/>
        </w:rPr>
      </w:pPr>
      <w:r>
        <w:rPr>
          <w:rFonts w:hint="default" w:ascii="Times New Roman" w:hAnsi="Times New Roman" w:cs="Times New Roman"/>
          <w:bCs/>
          <w:iCs/>
          <w:sz w:val="20"/>
          <w:szCs w:val="20"/>
        </w:rPr>
        <w:t>Aucune atteinte bilatérale n’a</w:t>
      </w:r>
      <w:r>
        <w:rPr>
          <w:rFonts w:hint="default" w:ascii="Times New Roman" w:hAnsi="Times New Roman" w:cs="Times New Roman"/>
          <w:bCs/>
          <w:iCs/>
          <w:sz w:val="20"/>
          <w:szCs w:val="20"/>
          <w:lang w:val="fr-FR"/>
        </w:rPr>
        <w:t>vai</w:t>
      </w:r>
      <w:r>
        <w:rPr>
          <w:rFonts w:hint="default" w:ascii="Times New Roman" w:hAnsi="Times New Roman" w:cs="Times New Roman"/>
          <w:bCs/>
          <w:iCs/>
          <w:sz w:val="20"/>
          <w:szCs w:val="20"/>
        </w:rPr>
        <w:t>t été notée bien que possible avec les endophtalmies endogènes selon Cornut et Chiquet [4] et Fardeau [18].</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Cs/>
          <w:iCs/>
          <w:sz w:val="20"/>
          <w:szCs w:val="20"/>
        </w:rPr>
      </w:pPr>
      <w:r>
        <w:rPr>
          <w:rFonts w:hint="default" w:ascii="Times New Roman" w:hAnsi="Times New Roman" w:cs="Times New Roman"/>
          <w:bCs/>
          <w:iCs/>
          <w:sz w:val="20"/>
          <w:szCs w:val="20"/>
        </w:rPr>
        <w:t xml:space="preserve">L’examen </w:t>
      </w:r>
      <w:r>
        <w:rPr>
          <w:rFonts w:hint="default" w:ascii="Times New Roman" w:hAnsi="Times New Roman" w:cs="Times New Roman"/>
          <w:bCs/>
          <w:iCs/>
          <w:sz w:val="20"/>
          <w:szCs w:val="20"/>
          <w:lang w:val="fr-FR"/>
        </w:rPr>
        <w:t>bio-</w:t>
      </w:r>
      <w:r>
        <w:rPr>
          <w:rFonts w:hint="default" w:ascii="Times New Roman" w:hAnsi="Times New Roman" w:cs="Times New Roman"/>
          <w:bCs/>
          <w:iCs/>
          <w:sz w:val="20"/>
          <w:szCs w:val="20"/>
        </w:rPr>
        <w:t>microscopique est un temps déterminant du diagnostic d’endophtalmie dans tous les services d’ophtalmologie en général mais dans ceux des pays en développement en particulier, du fait de nombreux facteurs</w:t>
      </w:r>
      <w:r>
        <w:rPr>
          <w:rFonts w:hint="default" w:ascii="Times New Roman" w:hAnsi="Times New Roman" w:cs="Times New Roman"/>
          <w:bCs/>
          <w:iCs/>
          <w:sz w:val="20"/>
          <w:szCs w:val="20"/>
          <w:lang w:val="fr-FR"/>
        </w:rPr>
        <w:t xml:space="preserve"> </w:t>
      </w:r>
      <w:r>
        <w:rPr>
          <w:rFonts w:hint="default" w:ascii="Times New Roman" w:hAnsi="Times New Roman" w:cs="Times New Roman"/>
          <w:bCs/>
          <w:iCs/>
          <w:sz w:val="20"/>
          <w:szCs w:val="20"/>
        </w:rPr>
        <w:t>: absence de plateau technique en terme de biologie moléculaire, et les difficultés pour le malade à payer ses soins. Ainsi, la maîtrise de la clinique par le praticien démontre encore plus sa pertinence [4,8]. En situation aiguë, les signes du segment antérieur sont les plus importants à prendre en compte et l’hypopion était le plus fréquent avec 66,66% de cas dans notre étude. Ceux retrouvés dans ce travail sont les mêmes que ceux évoqués dans la littérature à des fréquences variables, mais ne sont pas pathognomoniques d’endophtalmie [3,4,13,17]. Il faut préciser que l’hypopion est souvent peu fréquent au cours d’une endophtalmie chronique [8]. Les aides au diagnostic d’endophtalmie telles que le « laser cell flair meter » de chambre antérieure à la recherche du tyndall protéique ou cellulaire, le prélèvement du vitré et la biologie moléculaire par Polymérase Chain Reaction (PCR), plus fréquents dans les pays développés et souvent absents dans nos environnements rendent difficiles les comparaisons avec nos études [8].</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eastAsia="Times New Roman" w:cs="Times New Roman"/>
          <w:sz w:val="20"/>
          <w:szCs w:val="20"/>
          <w:lang w:eastAsia="fr-FR"/>
        </w:rPr>
      </w:pPr>
      <w:r>
        <w:rPr>
          <w:rFonts w:hint="default" w:ascii="Times New Roman" w:hAnsi="Times New Roman" w:cs="Times New Roman"/>
          <w:bCs/>
          <w:iCs/>
          <w:sz w:val="20"/>
          <w:szCs w:val="20"/>
        </w:rPr>
        <w:t xml:space="preserve">L'examen échographique en mode B du segment postérieur est indispensable lorsque la biomicroscopie est impossible. Il n’avait été réalisé que par 31,25% de patients dans ce travail. Il peut être pratiqué en urgence, le caractère récent de l'opération n'étant pas un obstacle si l'examen est pratiqué en douceur par un opérateur entraîné. Les trois structures examinées sont le vitré, la rétine et la choroïde. </w:t>
      </w:r>
      <w:r>
        <w:rPr>
          <w:rFonts w:hint="default" w:ascii="Times New Roman" w:hAnsi="Times New Roman" w:eastAsia="Times New Roman" w:cs="Times New Roman"/>
          <w:sz w:val="20"/>
          <w:szCs w:val="20"/>
          <w:lang w:eastAsia="fr-FR"/>
        </w:rPr>
        <w:t>L'examen devrait se terminer par le calcul de la longueur axiale de l'œil, paramètre qui est important dans l'évolution de l'œil vers la phtise.</w:t>
      </w:r>
      <w:r>
        <w:rPr>
          <w:rFonts w:hint="default" w:ascii="Times New Roman" w:hAnsi="Times New Roman" w:cs="Times New Roman"/>
          <w:bCs/>
          <w:iCs/>
          <w:sz w:val="20"/>
          <w:szCs w:val="20"/>
        </w:rPr>
        <w:t xml:space="preserve"> </w:t>
      </w:r>
      <w:r>
        <w:rPr>
          <w:rFonts w:hint="default" w:ascii="Times New Roman" w:hAnsi="Times New Roman" w:eastAsia="Times New Roman" w:cs="Times New Roman"/>
          <w:sz w:val="20"/>
          <w:szCs w:val="20"/>
          <w:lang w:eastAsia="fr-FR"/>
        </w:rPr>
        <w:t>L'examen du vitré permet de diriger le traitement, car un vitré non organisé permet une antibiothérapie locale et générale, alors qu’un cloisonnement de celui-ci nécessite une vitrectomie [10,19].</w:t>
      </w:r>
    </w:p>
    <w:p>
      <w:pPr>
        <w:pStyle w:val="10"/>
        <w:keepNext w:val="0"/>
        <w:keepLines w:val="0"/>
        <w:pageBreakBefore w:val="0"/>
        <w:widowControl/>
        <w:numPr>
          <w:ilvl w:val="0"/>
          <w:numId w:val="0"/>
        </w:numPr>
        <w:kinsoku/>
        <w:wordWrap/>
        <w:overflowPunct/>
        <w:topLinePunct w:val="0"/>
        <w:autoSpaceDE/>
        <w:autoSpaceDN/>
        <w:bidi w:val="0"/>
        <w:adjustRightInd/>
        <w:snapToGrid/>
        <w:spacing w:before="60" w:beforeAutospacing="0" w:after="20" w:afterAutospacing="0" w:line="240" w:lineRule="auto"/>
        <w:jc w:val="both"/>
        <w:textAlignment w:val="auto"/>
        <w:rPr>
          <w:rFonts w:hint="default" w:ascii="Times New Roman" w:hAnsi="Times New Roman" w:cs="Times New Roman"/>
          <w:b/>
          <w:bCs/>
          <w:iCs/>
          <w:sz w:val="20"/>
          <w:szCs w:val="20"/>
        </w:rPr>
      </w:pPr>
      <w:r>
        <w:rPr>
          <w:rFonts w:hint="default" w:ascii="Times New Roman" w:hAnsi="Times New Roman" w:cs="Times New Roman"/>
          <w:b/>
          <w:bCs/>
          <w:iCs/>
          <w:sz w:val="20"/>
          <w:szCs w:val="20"/>
        </w:rPr>
        <w:t>Caractéristiques étiologiques</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Cs/>
          <w:iCs/>
          <w:sz w:val="20"/>
          <w:szCs w:val="20"/>
        </w:rPr>
      </w:pPr>
      <w:r>
        <w:rPr>
          <w:rFonts w:hint="default" w:ascii="Times New Roman" w:hAnsi="Times New Roman" w:cs="Times New Roman"/>
          <w:bCs/>
          <w:iCs/>
          <w:sz w:val="20"/>
          <w:szCs w:val="20"/>
        </w:rPr>
        <w:t xml:space="preserve">Quatre-vingt-dix pour cent des endophtalmies sont d'origine exogène </w:t>
      </w:r>
      <w:r>
        <w:rPr>
          <w:rFonts w:hint="default" w:ascii="Times New Roman" w:hAnsi="Times New Roman" w:cs="Times New Roman"/>
          <w:bCs/>
          <w:iCs/>
          <w:sz w:val="20"/>
          <w:szCs w:val="20"/>
          <w:lang w:val="fr-FR"/>
        </w:rPr>
        <w:t>parmi lesquelles</w:t>
      </w:r>
      <w:r>
        <w:rPr>
          <w:rFonts w:hint="default" w:ascii="Times New Roman" w:hAnsi="Times New Roman" w:cs="Times New Roman"/>
          <w:bCs/>
          <w:iCs/>
          <w:sz w:val="20"/>
          <w:szCs w:val="20"/>
        </w:rPr>
        <w:t xml:space="preserve"> 70% seraient post opératoires infectieuses selon Fish et al [11]. Dans notre étude, les étiologies exogènes étaient les plus fréquentes avec 63,30% de cas dominées par les traumatismes. Les endophtalmies post opératoires ne représentant que 13,30%. Celles d’origine endogène étaient plus locorégionales.</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Cs/>
          <w:iCs/>
          <w:sz w:val="20"/>
          <w:szCs w:val="20"/>
        </w:rPr>
      </w:pPr>
      <w:r>
        <w:rPr>
          <w:rFonts w:hint="default" w:ascii="Times New Roman" w:hAnsi="Times New Roman" w:cs="Times New Roman"/>
          <w:bCs/>
          <w:iCs/>
          <w:sz w:val="20"/>
          <w:szCs w:val="20"/>
        </w:rPr>
        <w:t xml:space="preserve">Pour les 16,66% de patients qui ont </w:t>
      </w:r>
      <w:r>
        <w:rPr>
          <w:rFonts w:hint="default" w:ascii="Times New Roman" w:hAnsi="Times New Roman" w:cs="Times New Roman"/>
          <w:bCs/>
          <w:iCs/>
          <w:sz w:val="20"/>
          <w:szCs w:val="20"/>
          <w:lang w:val="fr-FR"/>
        </w:rPr>
        <w:t>eu à</w:t>
      </w:r>
      <w:r>
        <w:rPr>
          <w:rFonts w:hint="default" w:ascii="Times New Roman" w:hAnsi="Times New Roman" w:cs="Times New Roman"/>
          <w:bCs/>
          <w:iCs/>
          <w:sz w:val="20"/>
          <w:szCs w:val="20"/>
        </w:rPr>
        <w:t xml:space="preserve"> réaliser l’examen cyto</w:t>
      </w:r>
      <w:r>
        <w:rPr>
          <w:rFonts w:hint="default" w:ascii="Times New Roman" w:hAnsi="Times New Roman" w:cs="Times New Roman"/>
          <w:bCs/>
          <w:iCs/>
          <w:sz w:val="20"/>
          <w:szCs w:val="20"/>
          <w:lang w:val="fr-FR"/>
        </w:rPr>
        <w:t>-</w:t>
      </w:r>
      <w:r>
        <w:rPr>
          <w:rFonts w:hint="default" w:ascii="Times New Roman" w:hAnsi="Times New Roman" w:cs="Times New Roman"/>
          <w:bCs/>
          <w:iCs/>
          <w:sz w:val="20"/>
          <w:szCs w:val="20"/>
        </w:rPr>
        <w:t xml:space="preserve">bactériologique, </w:t>
      </w:r>
      <w:r>
        <w:rPr>
          <w:rFonts w:hint="default" w:ascii="Times New Roman" w:hAnsi="Times New Roman" w:cs="Times New Roman"/>
          <w:bCs/>
          <w:sz w:val="20"/>
          <w:szCs w:val="20"/>
        </w:rPr>
        <w:t>Klebsiella pneumoniae était la bactérie Gram négati</w:t>
      </w:r>
      <w:r>
        <w:rPr>
          <w:rFonts w:hint="default" w:ascii="Times New Roman" w:hAnsi="Times New Roman" w:cs="Times New Roman"/>
          <w:bCs/>
          <w:sz w:val="20"/>
          <w:szCs w:val="20"/>
          <w:lang w:val="fr-FR"/>
        </w:rPr>
        <w:t>f</w:t>
      </w:r>
      <w:r>
        <w:rPr>
          <w:rFonts w:hint="default" w:ascii="Times New Roman" w:hAnsi="Times New Roman" w:cs="Times New Roman"/>
          <w:bCs/>
          <w:sz w:val="20"/>
          <w:szCs w:val="20"/>
        </w:rPr>
        <w:t xml:space="preserve"> retrouvée chez une femme enceinte. Ce germe est très rarement retrouvé dans les endophtalmies exogènes et même endogènes aigues, subaiguës ou chroniques [4,9].</w:t>
      </w:r>
      <w:r>
        <w:rPr>
          <w:rFonts w:hint="default" w:ascii="Times New Roman" w:hAnsi="Times New Roman" w:cs="Times New Roman"/>
          <w:bCs/>
          <w:sz w:val="20"/>
          <w:szCs w:val="20"/>
          <w:lang w:val="fr-FR"/>
        </w:rPr>
        <w:t xml:space="preserve"> </w:t>
      </w:r>
      <w:r>
        <w:rPr>
          <w:rFonts w:hint="default" w:ascii="Times New Roman" w:hAnsi="Times New Roman" w:cs="Times New Roman"/>
          <w:bCs/>
          <w:sz w:val="20"/>
          <w:szCs w:val="20"/>
        </w:rPr>
        <w:t xml:space="preserve">L’absence de prélèvement par indisponibilité de la </w:t>
      </w:r>
      <w:r>
        <w:rPr>
          <w:rFonts w:hint="default" w:ascii="Times New Roman" w:hAnsi="Times New Roman" w:cs="Times New Roman"/>
          <w:bCs/>
          <w:iCs/>
          <w:sz w:val="20"/>
          <w:szCs w:val="20"/>
        </w:rPr>
        <w:t>vitrectomie éloigne nos résultats de ceux de la littérature qui s'accorde à reconnaître que le germe a plus de chance d'être isolé d’un prélèvement vitréen, que de celui de l'humeur aqueuse [4,9,14].</w:t>
      </w:r>
    </w:p>
    <w:p>
      <w:pPr>
        <w:pStyle w:val="10"/>
        <w:keepNext w:val="0"/>
        <w:keepLines w:val="0"/>
        <w:pageBreakBefore w:val="0"/>
        <w:widowControl/>
        <w:numPr>
          <w:ilvl w:val="0"/>
          <w:numId w:val="0"/>
        </w:numPr>
        <w:kinsoku/>
        <w:wordWrap/>
        <w:overflowPunct/>
        <w:topLinePunct w:val="0"/>
        <w:autoSpaceDE/>
        <w:autoSpaceDN/>
        <w:bidi w:val="0"/>
        <w:adjustRightInd/>
        <w:snapToGrid/>
        <w:spacing w:before="60" w:beforeAutospacing="0" w:after="20" w:afterAutospacing="0" w:line="240" w:lineRule="auto"/>
        <w:jc w:val="both"/>
        <w:textAlignment w:val="auto"/>
        <w:rPr>
          <w:rFonts w:hint="default" w:ascii="Times New Roman" w:hAnsi="Times New Roman" w:cs="Times New Roman"/>
          <w:b/>
          <w:bCs/>
          <w:iCs/>
          <w:sz w:val="20"/>
          <w:szCs w:val="20"/>
        </w:rPr>
      </w:pPr>
      <w:r>
        <w:rPr>
          <w:rFonts w:hint="default" w:ascii="Times New Roman" w:hAnsi="Times New Roman" w:cs="Times New Roman"/>
          <w:b/>
          <w:bCs/>
          <w:iCs/>
          <w:sz w:val="20"/>
          <w:szCs w:val="20"/>
        </w:rPr>
        <w:t>Prise en charge et évolution</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Cs/>
          <w:iCs/>
          <w:sz w:val="20"/>
          <w:szCs w:val="20"/>
        </w:rPr>
      </w:pPr>
      <w:r>
        <w:rPr>
          <w:rFonts w:hint="default" w:ascii="Times New Roman" w:hAnsi="Times New Roman" w:cs="Times New Roman"/>
          <w:bCs/>
          <w:iCs/>
          <w:sz w:val="20"/>
          <w:szCs w:val="20"/>
        </w:rPr>
        <w:t>La prise en charge préventive de l’endophtalmie avec la povidone iodée à 5% sur le globe oculaire en début d’intervention ou avec une antibiothérapie en intra camérulaire en fin d’intervention est fortement recommandée par plusieurs auteurs [18,20,21]. La déclaration des cas dans un hôpital dédié aux yeux aiderait aussi à la prévention selon Khandekar et al en Arabie Saoudite [15].</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Cs/>
          <w:iCs/>
          <w:sz w:val="20"/>
          <w:szCs w:val="20"/>
        </w:rPr>
      </w:pPr>
      <w:r>
        <w:rPr>
          <w:rFonts w:hint="default" w:ascii="Times New Roman" w:hAnsi="Times New Roman" w:cs="Times New Roman"/>
          <w:bCs/>
          <w:iCs/>
          <w:sz w:val="20"/>
          <w:szCs w:val="20"/>
          <w:lang w:val="fr-FR"/>
        </w:rPr>
        <w:t>La prise en charge</w:t>
      </w:r>
      <w:r>
        <w:rPr>
          <w:rFonts w:hint="default" w:ascii="Times New Roman" w:hAnsi="Times New Roman" w:cs="Times New Roman"/>
          <w:bCs/>
          <w:iCs/>
          <w:sz w:val="20"/>
          <w:szCs w:val="20"/>
        </w:rPr>
        <w:t xml:space="preserve"> est curative avec administration d’emblée d’une bi-antibiothérapie, soit par voie locale topique, sous conjonctivale ou intra vitréenne et ou systémique devant toutes les formes cliniques d’endophtalmies [5,18-24]. Ces différentes voies peuvent être combinées selon la littérature [18,19,21,22,24].</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Cs/>
          <w:iCs/>
          <w:sz w:val="20"/>
          <w:szCs w:val="20"/>
        </w:rPr>
      </w:pPr>
      <w:r>
        <w:rPr>
          <w:rFonts w:hint="default" w:ascii="Times New Roman" w:hAnsi="Times New Roman" w:cs="Times New Roman"/>
          <w:bCs/>
          <w:iCs/>
          <w:sz w:val="20"/>
          <w:szCs w:val="20"/>
          <w:lang w:val="fr-FR"/>
        </w:rPr>
        <w:t>L</w:t>
      </w:r>
      <w:r>
        <w:rPr>
          <w:rFonts w:hint="default" w:ascii="Times New Roman" w:hAnsi="Times New Roman" w:cs="Times New Roman"/>
          <w:bCs/>
          <w:iCs/>
          <w:sz w:val="20"/>
          <w:szCs w:val="20"/>
        </w:rPr>
        <w:t>es immunomodulateurs associés aux antibiotiques seraient prometteurs pour les endophtalmies bactériennes selon Miller et al [25]. Dans cette étude, sans omettre le contexte médico</w:t>
      </w:r>
      <w:r>
        <w:rPr>
          <w:rFonts w:hint="default" w:ascii="Times New Roman" w:hAnsi="Times New Roman" w:cs="Times New Roman"/>
          <w:bCs/>
          <w:iCs/>
          <w:sz w:val="20"/>
          <w:szCs w:val="20"/>
          <w:lang w:val="fr-FR"/>
        </w:rPr>
        <w:t>-</w:t>
      </w:r>
      <w:r>
        <w:rPr>
          <w:rFonts w:hint="default" w:ascii="Times New Roman" w:hAnsi="Times New Roman" w:cs="Times New Roman"/>
          <w:bCs/>
          <w:iCs/>
          <w:sz w:val="20"/>
          <w:szCs w:val="20"/>
        </w:rPr>
        <w:t>légal parfois associé, le pronostic restait réservé bien que la prise en charge médico</w:t>
      </w:r>
      <w:r>
        <w:rPr>
          <w:rFonts w:hint="default" w:ascii="Times New Roman" w:hAnsi="Times New Roman" w:cs="Times New Roman"/>
          <w:bCs/>
          <w:iCs/>
          <w:sz w:val="20"/>
          <w:szCs w:val="20"/>
          <w:lang w:val="fr-FR"/>
        </w:rPr>
        <w:t>-</w:t>
      </w:r>
      <w:r>
        <w:rPr>
          <w:rFonts w:hint="default" w:ascii="Times New Roman" w:hAnsi="Times New Roman" w:cs="Times New Roman"/>
          <w:bCs/>
          <w:iCs/>
          <w:sz w:val="20"/>
          <w:szCs w:val="20"/>
        </w:rPr>
        <w:t>chirurgicale de ces yeux ait été faite en urgence [3,4,7,9,19].</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Cs/>
          <w:iCs/>
          <w:sz w:val="20"/>
          <w:szCs w:val="20"/>
        </w:rPr>
      </w:pPr>
      <w:r>
        <w:rPr>
          <w:rFonts w:hint="default" w:ascii="Times New Roman" w:hAnsi="Times New Roman" w:cs="Times New Roman"/>
          <w:bCs/>
          <w:iCs/>
          <w:sz w:val="20"/>
          <w:szCs w:val="20"/>
        </w:rPr>
        <w:t xml:space="preserve">L’acuité visuelle s’améliore très peu au cours des endophtalmies aiguës, contrairement à celles chroniques selon Libert [8] et Fardeau [18]. Dans notre série, aucune amélioration fonctionnelle n’a été notée malgré la prise en charge urgente, justifiant </w:t>
      </w:r>
      <w:r>
        <w:rPr>
          <w:rFonts w:hint="default" w:ascii="Times New Roman" w:hAnsi="Times New Roman" w:cs="Times New Roman"/>
          <w:bCs/>
          <w:iCs/>
          <w:sz w:val="20"/>
          <w:szCs w:val="20"/>
          <w:lang w:val="fr-FR"/>
        </w:rPr>
        <w:t>le</w:t>
      </w:r>
      <w:r>
        <w:rPr>
          <w:rFonts w:hint="default" w:ascii="Times New Roman" w:hAnsi="Times New Roman" w:cs="Times New Roman"/>
          <w:bCs/>
          <w:iCs/>
          <w:sz w:val="20"/>
          <w:szCs w:val="20"/>
        </w:rPr>
        <w:t xml:space="preserve"> taux de cécité resté élevé. </w:t>
      </w:r>
      <w:r>
        <w:rPr>
          <w:rFonts w:hint="default" w:ascii="Times New Roman" w:hAnsi="Times New Roman" w:cs="Times New Roman"/>
          <w:bCs/>
          <w:iCs/>
          <w:sz w:val="20"/>
          <w:szCs w:val="20"/>
          <w:lang w:val="fr-FR"/>
        </w:rPr>
        <w:t>La cécité</w:t>
      </w:r>
      <w:r>
        <w:rPr>
          <w:rFonts w:hint="default" w:ascii="Times New Roman" w:hAnsi="Times New Roman" w:cs="Times New Roman"/>
          <w:bCs/>
          <w:iCs/>
          <w:sz w:val="20"/>
          <w:szCs w:val="20"/>
        </w:rPr>
        <w:t xml:space="preserve"> serait encore plus forte avec les endophtalmies post injection intra vitréenne quelque soit la qualité et la promptitude de la prise en charge selon Al-Rashaed et al [26].</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Cs/>
          <w:iCs/>
          <w:sz w:val="20"/>
          <w:szCs w:val="20"/>
        </w:rPr>
      </w:pPr>
      <w:r>
        <w:rPr>
          <w:rFonts w:hint="default" w:ascii="Times New Roman" w:hAnsi="Times New Roman" w:cs="Times New Roman"/>
          <w:bCs/>
          <w:iCs/>
          <w:sz w:val="20"/>
          <w:szCs w:val="20"/>
        </w:rPr>
        <w:t>Les limites de toute étude rétrospective</w:t>
      </w:r>
      <w:r>
        <w:rPr>
          <w:rFonts w:hint="default" w:ascii="Times New Roman" w:hAnsi="Times New Roman" w:cs="Times New Roman"/>
          <w:bCs/>
          <w:iCs/>
          <w:sz w:val="20"/>
          <w:szCs w:val="20"/>
          <w:lang w:val="fr-FR"/>
        </w:rPr>
        <w:t xml:space="preserve"> </w:t>
      </w:r>
      <w:r>
        <w:rPr>
          <w:rFonts w:hint="default" w:ascii="Times New Roman" w:hAnsi="Times New Roman" w:cs="Times New Roman"/>
          <w:bCs/>
          <w:iCs/>
          <w:sz w:val="20"/>
          <w:szCs w:val="20"/>
        </w:rPr>
        <w:t xml:space="preserve">sont à noter dans ce travail. A celles-ci, il faudrait ajouter l’absence des aides au diagnostic telles que le «laser cell flair meter» de chambre antérieure, le vitréotome pour des prélèvements vitréens, la biologie moléculaire à des fins étiologiques, et l’influence du coût financier élevé </w:t>
      </w:r>
      <w:r>
        <w:rPr>
          <w:rFonts w:hint="default" w:ascii="Times New Roman" w:hAnsi="Times New Roman" w:cs="Times New Roman"/>
          <w:bCs/>
          <w:iCs/>
          <w:sz w:val="20"/>
          <w:szCs w:val="20"/>
          <w:lang w:val="fr-FR"/>
        </w:rPr>
        <w:t>sur</w:t>
      </w:r>
      <w:bookmarkStart w:id="0" w:name="_GoBack"/>
      <w:bookmarkEnd w:id="0"/>
      <w:r>
        <w:rPr>
          <w:rFonts w:hint="default" w:ascii="Times New Roman" w:hAnsi="Times New Roman" w:cs="Times New Roman"/>
          <w:bCs/>
          <w:iCs/>
          <w:sz w:val="20"/>
          <w:szCs w:val="20"/>
        </w:rPr>
        <w:t xml:space="preserve"> les revenus de nos malades. Cette étude a malgré toutes ces limites, le mérite de situer dans notre environnement, la fréquence du risque d’endophtalmie qui devrait être infirmée ou confirmée par des séries prospectives.</w:t>
      </w:r>
    </w:p>
    <w:p>
      <w:pPr>
        <w:keepNext w:val="0"/>
        <w:keepLines w:val="0"/>
        <w:pageBreakBefore w:val="0"/>
        <w:widowControl/>
        <w:tabs>
          <w:tab w:val="left" w:pos="567"/>
        </w:tabs>
        <w:kinsoku/>
        <w:wordWrap/>
        <w:overflowPunct/>
        <w:topLinePunct w:val="0"/>
        <w:autoSpaceDE/>
        <w:autoSpaceDN/>
        <w:bidi w:val="0"/>
        <w:adjustRightInd/>
        <w:snapToGrid/>
        <w:spacing w:before="120" w:beforeAutospacing="0" w:after="40" w:afterAutospacing="0" w:line="240" w:lineRule="auto"/>
        <w:jc w:val="both"/>
        <w:textAlignment w:val="auto"/>
        <w:rPr>
          <w:rFonts w:hint="default" w:ascii="Times New Roman" w:hAnsi="Times New Roman" w:cs="Times New Roman"/>
          <w:b/>
          <w:bCs/>
          <w:iCs/>
          <w:sz w:val="20"/>
          <w:szCs w:val="20"/>
        </w:rPr>
      </w:pPr>
      <w:r>
        <w:rPr>
          <w:rFonts w:hint="default" w:ascii="Times New Roman" w:hAnsi="Times New Roman" w:cs="Times New Roman"/>
          <w:b/>
          <w:bCs/>
          <w:iCs/>
          <w:sz w:val="20"/>
          <w:szCs w:val="20"/>
        </w:rPr>
        <w:t>CONCLUSION</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Cs/>
          <w:sz w:val="20"/>
          <w:szCs w:val="20"/>
        </w:rPr>
      </w:pPr>
      <w:r>
        <w:rPr>
          <w:rFonts w:hint="default" w:ascii="Times New Roman" w:hAnsi="Times New Roman" w:cs="Times New Roman"/>
          <w:bCs/>
          <w:iCs/>
          <w:sz w:val="20"/>
          <w:szCs w:val="20"/>
        </w:rPr>
        <w:t>Les endophtalmies dans notre milieu sont des pathologies très graves car elles entrainent la cécité monoculaire chez neuf patients sur 10 et peuvent conduire à la perte du globe oculaire. Des efforts de prévention des traumatismes par la sensibilisation auprès des populations et l’urgente prise en charge de toute endophtalmie par les soignants permettraient probablement de réduire cette fréquence.</w:t>
      </w:r>
    </w:p>
    <w:p>
      <w:pPr>
        <w:keepNext w:val="0"/>
        <w:keepLines w:val="0"/>
        <w:pageBreakBefore w:val="0"/>
        <w:widowControl/>
        <w:kinsoku/>
        <w:wordWrap/>
        <w:overflowPunct/>
        <w:topLinePunct w:val="0"/>
        <w:autoSpaceDE/>
        <w:autoSpaceDN/>
        <w:bidi w:val="0"/>
        <w:adjustRightInd/>
        <w:snapToGrid/>
        <w:spacing w:before="60" w:beforeAutospacing="0" w:after="20" w:afterAutospacing="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Conflit d’intérêt:</w:t>
      </w:r>
      <w:r>
        <w:rPr>
          <w:rFonts w:hint="default" w:ascii="Times New Roman" w:hAnsi="Times New Roman" w:cs="Times New Roman"/>
          <w:sz w:val="20"/>
          <w:szCs w:val="20"/>
        </w:rPr>
        <w:t xml:space="preserve"> Aucun</w:t>
      </w:r>
    </w:p>
    <w:p>
      <w:pPr>
        <w:keepNext w:val="0"/>
        <w:keepLines w:val="0"/>
        <w:pageBreakBefore w:val="0"/>
        <w:widowControl/>
        <w:kinsoku/>
        <w:wordWrap/>
        <w:overflowPunct/>
        <w:topLinePunct w:val="0"/>
        <w:autoSpaceDE/>
        <w:autoSpaceDN/>
        <w:bidi w:val="0"/>
        <w:adjustRightInd/>
        <w:snapToGrid/>
        <w:spacing w:before="60" w:beforeAutospacing="0" w:after="20" w:afterAutospacing="0" w:line="240" w:lineRule="auto"/>
        <w:jc w:val="both"/>
        <w:textAlignment w:val="auto"/>
        <w:rPr>
          <w:rFonts w:hint="default" w:ascii="Times New Roman" w:hAnsi="Times New Roman" w:cs="Times New Roman"/>
          <w:bCs/>
          <w:sz w:val="20"/>
          <w:szCs w:val="20"/>
        </w:rPr>
      </w:pPr>
      <w:r>
        <w:rPr>
          <w:rFonts w:hint="default" w:ascii="Times New Roman" w:hAnsi="Times New Roman" w:cs="Times New Roman"/>
          <w:b/>
          <w:sz w:val="20"/>
          <w:szCs w:val="20"/>
        </w:rPr>
        <w:t>Remerciements:</w:t>
      </w:r>
      <w:r>
        <w:rPr>
          <w:rFonts w:hint="default" w:ascii="Times New Roman" w:hAnsi="Times New Roman" w:cs="Times New Roman"/>
          <w:sz w:val="20"/>
          <w:szCs w:val="20"/>
        </w:rPr>
        <w:t xml:space="preserve"> A tout le personnel du service d’ophtalmologie de l’HIARAY, en particulier au Capitaines Assou Meyong Samuel et Danladi Pomoné.</w:t>
      </w:r>
    </w:p>
    <w:p>
      <w:pPr>
        <w:keepNext w:val="0"/>
        <w:keepLines w:val="0"/>
        <w:pageBreakBefore w:val="0"/>
        <w:widowControl/>
        <w:tabs>
          <w:tab w:val="left" w:pos="2790"/>
        </w:tabs>
        <w:kinsoku/>
        <w:wordWrap/>
        <w:overflowPunct/>
        <w:topLinePunct w:val="0"/>
        <w:autoSpaceDE/>
        <w:autoSpaceDN/>
        <w:bidi w:val="0"/>
        <w:adjustRightInd/>
        <w:snapToGrid/>
        <w:spacing w:before="120" w:beforeAutospacing="0" w:after="40" w:afterAutospacing="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RÉFÉRENCES</w: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color w:val="FF0000"/>
          <w:sz w:val="18"/>
          <w:szCs w:val="18"/>
        </w:rPr>
      </w:pPr>
      <w:r>
        <w:rPr>
          <w:rFonts w:hint="default" w:ascii="Times New Roman" w:hAnsi="Times New Roman" w:cs="Times New Roman"/>
          <w:sz w:val="18"/>
          <w:szCs w:val="18"/>
        </w:rPr>
        <w:t>1. Chiquet C, Bron A, Cochereau I, Bourcier T. Endophtalmies. EMC – Ophtalmologie 2017; 15 (1): 1- 14. [Article 21-250-D-40].</w: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2. Bron A, Cochereau I, Chiquet C, Bourcier T. Endophtalmies. EMC (Elsevier Masson SAS, Paris), Ophtalmologie, 21-250-D-40, 2008.</w: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3. Kodjikian L, Roques C, Baillif S, Pellon G, Hartmann D, Freney J, Burillon C. Endophtalmie: étiopathogénie et antibioprophylaxie. J Fr Ophtalmol 2005; 28(10): 1122-1130.</w: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rPr>
        <w:t xml:space="preserve">4. Cornut P-L, Chiquet C. Endophtalmies endogènes bactériennes. </w:t>
      </w:r>
      <w:r>
        <w:rPr>
          <w:rFonts w:hint="default" w:ascii="Times New Roman" w:hAnsi="Times New Roman" w:cs="Times New Roman"/>
          <w:sz w:val="18"/>
          <w:szCs w:val="18"/>
          <w:lang w:val="en-US"/>
        </w:rPr>
        <w:t>J Fr Ophtalmol 2011; 34: 51-57.</w: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5. Barry P, Cordovés L, Gardner S. ESCRS guidelines for prevention and treatment of endophthalmitis following cataract surgery: data, dilemmas and conclusion. Dublin: European Society for cataract and refractive surgeons; 2013.</w: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 xml:space="preserve">6. Kernt M, Kampik A. Endophthalmitis: pathogenesis, clinical presentation, management, and perspectives. </w:t>
      </w:r>
      <w:r>
        <w:rPr>
          <w:rFonts w:hint="default" w:ascii="Times New Roman" w:hAnsi="Times New Roman" w:cs="Times New Roman"/>
          <w:sz w:val="18"/>
          <w:szCs w:val="18"/>
        </w:rPr>
        <w:t>Clin Ophthalmol 2010; 4: 121-135.</w: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7. Patellat F. Gestion de l’endophtalmie après chirurgie de la cataracte. Images Ophtalmol 2008 ; 2(2) : 27-30.</w: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8. Libert J. Les endophtalmies chroniques. Bull Soc belge Ophtalmol 2001 ; 279 : 61-65.</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9. Salvanet-Bouccara A, Junes P. Endophtalmies. Encycl. Med. Chir., Ophtalmologie ; 21-250-D-40, 1995, 12p.</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10. Kattan H M, Flynn H W, Pflugfelder S C, Robertson C, Forster R K. Nosocomial endophthalmitis survey. Current incidence of infection after intraocular surgery. Ophthalmol 1991; 98: 227-238.</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11. Fish A, Salvanet - Bouccara A, Prazuck T, Forestier F, Gerbaud L, Coscas G, Lafaix C and the French collaborative study group on endophthalmitis. Epidemiology of infective endophthalmitis in France. Lancet 1991; 338: 1373-1375.</w: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12. Braimah I M, Essuman V A, Fordjuor G. Postcataract surgery endophthalmitis in a Ghanaian population: incidence, risk factors and visual outcome after treatment. East Afr Med J 2017; 94 (4): 290-299.</w: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Cs/>
          <w:iCs/>
          <w:sz w:val="18"/>
          <w:szCs w:val="18"/>
        </w:rPr>
      </w:pPr>
      <w:r>
        <w:rPr>
          <w:rFonts w:hint="default" w:ascii="Times New Roman" w:hAnsi="Times New Roman" w:cs="Times New Roman"/>
          <w:bCs/>
          <w:sz w:val="18"/>
          <w:szCs w:val="18"/>
        </w:rPr>
        <w:t>13. Lafontaine P O, Bron A M, Creuzot-Garcher C.</w:t>
      </w:r>
      <w:r>
        <w:rPr>
          <w:rFonts w:hint="default" w:ascii="Times New Roman" w:hAnsi="Times New Roman" w:cs="Times New Roman"/>
          <w:sz w:val="18"/>
          <w:szCs w:val="18"/>
        </w:rPr>
        <w:t xml:space="preserve"> </w:t>
      </w:r>
      <w:r>
        <w:rPr>
          <w:rFonts w:hint="default" w:ascii="Times New Roman" w:hAnsi="Times New Roman" w:cs="Times New Roman"/>
          <w:bCs/>
          <w:sz w:val="18"/>
          <w:szCs w:val="18"/>
        </w:rPr>
        <w:t>Étude prospective sur les endophtalmies aiguës postopératoires : description clinique, prise en charge et facteurs de risque. J Fr Ophtalmol 2005 ; 28 (2) : 135-148.</w: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Cs/>
          <w:iCs/>
          <w:sz w:val="18"/>
          <w:szCs w:val="18"/>
          <w:lang w:val="en-US"/>
        </w:rPr>
      </w:pPr>
      <w:r>
        <w:rPr>
          <w:rFonts w:hint="default" w:ascii="Times New Roman" w:hAnsi="Times New Roman" w:cs="Times New Roman"/>
          <w:bCs/>
          <w:iCs/>
          <w:sz w:val="18"/>
          <w:szCs w:val="18"/>
          <w:lang w:val="en-US"/>
        </w:rPr>
        <w:t>14. Endophthalmitis Vitrectomy Study Group.</w:t>
      </w:r>
      <w:r>
        <w:rPr>
          <w:rFonts w:hint="default" w:ascii="Times New Roman" w:hAnsi="Times New Roman" w:cs="Times New Roman"/>
          <w:b/>
          <w:bCs/>
          <w:iCs/>
          <w:sz w:val="18"/>
          <w:szCs w:val="18"/>
          <w:lang w:val="en-US"/>
        </w:rPr>
        <w:t xml:space="preserve"> </w:t>
      </w:r>
      <w:r>
        <w:rPr>
          <w:rFonts w:hint="default" w:ascii="Times New Roman" w:hAnsi="Times New Roman" w:cs="Times New Roman"/>
          <w:bCs/>
          <w:iCs/>
          <w:sz w:val="18"/>
          <w:szCs w:val="18"/>
          <w:lang w:val="en-US"/>
        </w:rPr>
        <w:t>Results of the Endophthalmitis Vitrectomy Study. A randomized trial of immediate vitrectomy and of intravenous antibiotics for the treatment of postoperative bacterial endophthalmitis. Arch Ophthalmol 1995; 113: 1479-1496.</w: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Cs/>
          <w:iCs/>
          <w:sz w:val="18"/>
          <w:szCs w:val="18"/>
          <w:lang w:val="en-US"/>
        </w:rPr>
      </w:pPr>
      <w:r>
        <w:rPr>
          <w:rFonts w:hint="default" w:ascii="Times New Roman" w:hAnsi="Times New Roman" w:cs="Times New Roman"/>
          <w:bCs/>
          <w:iCs/>
          <w:sz w:val="18"/>
          <w:szCs w:val="18"/>
          <w:lang w:val="en-US"/>
        </w:rPr>
        <w:t>15. Khandekar R, Al-Motowa S, Alkatan H M, Karaoui M, Ortiz A. Incidence and determinants of endophthalmitis within 6 months of surgeries over a 2 year period at King Khaled Eye Specialist Hospital Saudi Arabia: A review. Middle East Afr J Ophthalmol 2015; 22 (2): 198-202.</w: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Cs/>
          <w:iCs/>
          <w:sz w:val="18"/>
          <w:szCs w:val="18"/>
          <w:lang w:val="en-US"/>
        </w:rPr>
      </w:pPr>
      <w:r>
        <w:rPr>
          <w:rFonts w:hint="default" w:ascii="Times New Roman" w:hAnsi="Times New Roman" w:cs="Times New Roman"/>
          <w:bCs/>
          <w:iCs/>
          <w:sz w:val="18"/>
          <w:szCs w:val="18"/>
          <w:lang w:val="en-US"/>
        </w:rPr>
        <w:t xml:space="preserve">16. Kagmeni G, Nguéfack F, Monebenimp F, Kouogang G, Ngounou F, Kengne Kamga S, Moukouri E. Le rétinoblastome dans la région de l’Ouest-Cameroun : aspects cliniques, histologiques et thérapeutiques. Health Sci Dis 2013; 14 (2): 1- 4. </w: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Cs/>
          <w:iCs/>
          <w:sz w:val="18"/>
          <w:szCs w:val="18"/>
        </w:rPr>
      </w:pPr>
      <w:r>
        <w:rPr>
          <w:rFonts w:hint="default" w:ascii="Times New Roman" w:hAnsi="Times New Roman" w:cs="Times New Roman"/>
          <w:bCs/>
          <w:iCs/>
          <w:sz w:val="18"/>
          <w:szCs w:val="18"/>
          <w:lang w:val="en-US"/>
        </w:rPr>
        <w:t xml:space="preserve">17. Ball P M, Cornut P L, Thuret G, Vinh V, Garcher C, Maurin M et al. </w:t>
      </w:r>
      <w:r>
        <w:rPr>
          <w:rFonts w:hint="default" w:ascii="Times New Roman" w:hAnsi="Times New Roman" w:cs="Times New Roman"/>
          <w:bCs/>
          <w:iCs/>
          <w:sz w:val="18"/>
          <w:szCs w:val="18"/>
        </w:rPr>
        <w:t>Caractérisation Clinique des endophtalmies aïgues post chirurgie de la cataracte à streptocoques ou staphylocoques. J Fr Ophtalmol 2009 ; 32 (HS1) : 62. Doi : JFO-04-2009-32-HS1-181-5512-101019-200902504.</w: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Cs/>
          <w:iCs/>
          <w:sz w:val="18"/>
          <w:szCs w:val="18"/>
        </w:rPr>
      </w:pPr>
      <w:r>
        <w:rPr>
          <w:rFonts w:hint="default" w:ascii="Times New Roman" w:hAnsi="Times New Roman" w:cs="Times New Roman"/>
          <w:bCs/>
          <w:iCs/>
          <w:sz w:val="18"/>
          <w:szCs w:val="18"/>
        </w:rPr>
        <w:t>18. Fardeau C. Endophtalmies chroniques postopératoires. J Fr Ophtalmol 2011 ; 34 : 63 – 69.</w: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Cs/>
          <w:iCs/>
          <w:sz w:val="18"/>
          <w:szCs w:val="18"/>
        </w:rPr>
      </w:pPr>
      <w:r>
        <w:rPr>
          <w:rFonts w:hint="default" w:ascii="Times New Roman" w:hAnsi="Times New Roman" w:cs="Times New Roman"/>
          <w:bCs/>
          <w:iCs/>
          <w:sz w:val="18"/>
          <w:szCs w:val="18"/>
        </w:rPr>
        <w:t>19. Fekih O, Touati M, Mehdi Zgolli H, Mabrouk S, Haj Said O, Zeghal I, Nacef L. Corps étranger intraoculaire et endophtalmie : facteurs de risque et prise en charge. Pan Afr Med J 2019 ; 33 : 258. doi : 10.11604/pamj.2019.33.258.18554</w: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20. Kessel L, Flesner P, Andresen J, Erngaard D, Tendal B, Hjortdal J. Antibiotic prevention of post cataract endophthalmitis : a systematic review and meta-analysis. Acta Ophthalmol 2015; 93: 303-317.</w: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21. Niyadurupola N, Astbury N. Endophtalmie: comment lutter contre l’infection avant et après la chirurgie de la cataracte. Rev Santé Oculaire Communautaire 2009; 6 (7): 14 – 16.</w: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22. Goldschmidt P, Bensaid P, Semoun O, Chaumeil C. Approche rationnelle pour le traitement des endophtalmies post – chirurgicales des populations vivant dans des conditions de pauvreté. J Fr Ophtalmol 2013; 36: 261-267.</w: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23. Trigui A, Khaldi N, Maazoun M, Feki J. Utilisation des collyres fortifiés dans l’endophtalmie. Pharmacien Hospitalier Clinicien 2009; 44 (1): 22 – 26.</w: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24. Chebil A, Feki O, Chaker N, Zghal I, Hsairi A, Ben Ayed N, Nacef L, El Matri L. Profil microbiologique des endophtalmies aiguës dans un centre de référence en Tunisie. J Fr Ophtalmol 2015; 38: 729 – 734.</w: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25. Miller F C, Coburn P S, Huzzatul M M, LaGrow A L, Livinston E, Callegan M C. Targets of immunomodulation in bacterial endophthalmitis. Prog Retin Eye Res 2019; 73: 100763. Doi: 10.1016/j.preteyeres.2019.05.004.Epub 2019 May 28.</w:t>
      </w:r>
    </w:p>
    <w:p>
      <w:pPr>
        <w:keepNext w:val="0"/>
        <w:keepLines w:val="0"/>
        <w:pageBreakBefore w:val="0"/>
        <w:widowControl/>
        <w:tabs>
          <w:tab w:val="left" w:pos="2790"/>
        </w:tabs>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26. Al-Rashaed S, Alsalaiman S M, Alrushood A A, Almasaud J, Arevalo J F. Incidence of endophthalmitis after intravitreal anti vascular endothelial growth factor: experience in Saudi Arabia. Middle East Afr J Ophthalmol 2016; 23 (1): 60-63.</w:t>
      </w:r>
    </w:p>
    <w:sectPr>
      <w:type w:val="continuous"/>
      <w:pgSz w:w="11850" w:h="16783"/>
      <w:pgMar w:top="1134" w:right="850" w:bottom="1417" w:left="1134" w:header="708" w:footer="708" w:gutter="0"/>
      <w:pgNumType w:fmt="decimal"/>
      <w:cols w:equalWidth="0" w:num="2">
        <w:col w:w="4720" w:space="425"/>
        <w:col w:w="4720"/>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Calibri"/>
    <w:panose1 w:val="00000000000000000000"/>
    <w:charset w:val="86"/>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auto"/>
    <w:pitch w:val="default"/>
    <w:sig w:usb0="E10002FF" w:usb1="4000ACFF" w:usb2="00000009" w:usb3="00000000" w:csb0="2000019F" w:csb1="00000000"/>
  </w:font>
  <w:font w:name="等线">
    <w:altName w:val="Microsoft YaHei"/>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10002FF" w:usb1="4000ACFF" w:usb2="00000009" w:usb3="00000000" w:csb0="2000019F" w:csb1="00000000"/>
  </w:font>
  <w:font w:name="Microsoft YaHei">
    <w:panose1 w:val="020B0503020204020204"/>
    <w:charset w:val="86"/>
    <w:family w:val="auto"/>
    <w:pitch w:val="default"/>
    <w:sig w:usb0="80000287" w:usb1="28C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ascii="Times New Roman"/>
        <w:sz w:val="18"/>
        <w:lang w:val="en-US"/>
      </w:rPr>
      <mc:AlternateContent>
        <mc:Choice Requires="wpg">
          <w:drawing>
            <wp:anchor distT="0" distB="0" distL="114300" distR="114300" simplePos="0" relativeHeight="251664384" behindDoc="1" locked="0" layoutInCell="0" allowOverlap="1">
              <wp:simplePos x="0" y="0"/>
              <wp:positionH relativeFrom="page">
                <wp:posOffset>6567805</wp:posOffset>
              </wp:positionH>
              <wp:positionV relativeFrom="page">
                <wp:posOffset>9934575</wp:posOffset>
              </wp:positionV>
              <wp:extent cx="419100" cy="321945"/>
              <wp:effectExtent l="0" t="6350" r="0" b="14605"/>
              <wp:wrapTight wrapText="bothSides">
                <wp:wrapPolygon>
                  <wp:start x="6873" y="-426"/>
                  <wp:lineTo x="0" y="2045"/>
                  <wp:lineTo x="0" y="19342"/>
                  <wp:lineTo x="6873" y="20578"/>
                  <wp:lineTo x="16691" y="20578"/>
                  <wp:lineTo x="19636" y="19342"/>
                  <wp:lineTo x="20225" y="17851"/>
                  <wp:lineTo x="21600" y="17851"/>
                  <wp:lineTo x="21600" y="5624"/>
                  <wp:lineTo x="20618" y="5624"/>
                  <wp:lineTo x="20618" y="2045"/>
                  <wp:lineTo x="13745" y="-426"/>
                  <wp:lineTo x="6873" y="-426"/>
                </wp:wrapPolygon>
              </wp:wrapTight>
              <wp:docPr id="30" name="Grouper 30"/>
              <wp:cNvGraphicFramePr/>
              <a:graphic xmlns:a="http://schemas.openxmlformats.org/drawingml/2006/main">
                <a:graphicData uri="http://schemas.microsoft.com/office/word/2010/wordprocessingGroup">
                  <wpg:wgp>
                    <wpg:cNvGrpSpPr/>
                    <wpg:grpSpPr>
                      <a:xfrm>
                        <a:off x="0" y="0"/>
                        <a:ext cx="419100" cy="321945"/>
                        <a:chOff x="1731" y="14550"/>
                        <a:chExt cx="660" cy="507"/>
                      </a:xfrm>
                    </wpg:grpSpPr>
                    <wps:wsp>
                      <wps:cNvPr id="24" name="Losange 24"/>
                      <wps:cNvSpPr/>
                      <wps:spPr>
                        <a:xfrm>
                          <a:off x="1793" y="14550"/>
                          <a:ext cx="536" cy="507"/>
                        </a:xfrm>
                        <a:prstGeom prst="diamond">
                          <a:avLst/>
                        </a:prstGeom>
                        <a:noFill/>
                        <a:ln w="9525" cap="flat" cmpd="sng">
                          <a:solidFill>
                            <a:srgbClr val="A5A5A5"/>
                          </a:solidFill>
                          <a:prstDash val="solid"/>
                          <a:miter/>
                          <a:headEnd type="none" w="med" len="med"/>
                          <a:tailEnd type="none" w="med" len="med"/>
                        </a:ln>
                      </wps:spPr>
                      <wps:bodyPr upright="1"/>
                    </wps:wsp>
                    <wps:wsp>
                      <wps:cNvPr id="25" name="Rectangle 25"/>
                      <wps:cNvSpPr/>
                      <wps:spPr>
                        <a:xfrm>
                          <a:off x="1848" y="14616"/>
                          <a:ext cx="427" cy="375"/>
                        </a:xfrm>
                        <a:prstGeom prst="rect">
                          <a:avLst/>
                        </a:prstGeom>
                        <a:noFill/>
                        <a:ln w="9525" cap="flat" cmpd="sng">
                          <a:solidFill>
                            <a:srgbClr val="A5A5A5"/>
                          </a:solidFill>
                          <a:prstDash val="solid"/>
                          <a:miter/>
                          <a:headEnd type="none" w="med" len="med"/>
                          <a:tailEnd type="none" w="med" len="med"/>
                        </a:ln>
                      </wps:spPr>
                      <wps:bodyPr upright="1"/>
                    </wps:wsp>
                    <wps:wsp>
                      <wps:cNvPr id="26" name="Zone de texte 26"/>
                      <wps:cNvSpPr txBox="1"/>
                      <wps:spPr>
                        <a:xfrm>
                          <a:off x="1731" y="14639"/>
                          <a:ext cx="660" cy="330"/>
                        </a:xfrm>
                        <a:prstGeom prst="rect">
                          <a:avLst/>
                        </a:prstGeom>
                        <a:noFill/>
                        <a:ln>
                          <a:noFill/>
                        </a:ln>
                      </wps:spPr>
                      <wps:txbx>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wps:txbx>
                      <wps:bodyPr lIns="0" tIns="27432" rIns="0" bIns="0" upright="1"/>
                    </wps:wsp>
                    <wpg:grpSp>
                      <wpg:cNvPr id="29" name="Grouper 29"/>
                      <wpg:cNvGrpSpPr/>
                      <wpg:grpSpPr>
                        <a:xfrm>
                          <a:off x="1775" y="14647"/>
                          <a:ext cx="571" cy="314"/>
                          <a:chOff x="1705" y="14935"/>
                          <a:chExt cx="682" cy="375"/>
                        </a:xfrm>
                      </wpg:grpSpPr>
                      <wps:wsp>
                        <wps:cNvPr id="27" name="Forme libre 27"/>
                        <wps:cNvSpPr/>
                        <wps:spPr>
                          <a:xfrm rot="-5400000">
                            <a:off x="1782" y="14858"/>
                            <a:ext cx="375" cy="530"/>
                          </a:xfrm>
                          <a:custGeom>
                            <a:avLst/>
                            <a:gdLst>
                              <a:gd name="txL" fmla="*/ 4493 w 21600"/>
                              <a:gd name="txT" fmla="*/ 4483 h 21600"/>
                              <a:gd name="txR" fmla="*/ 17107 w 21600"/>
                              <a:gd name="txB" fmla="*/ 17117 h 21600"/>
                            </a:gdLst>
                            <a:ahLst/>
                            <a:cxnLst>
                              <a:cxn ang="0">
                                <a:pos x="328" y="265"/>
                              </a:cxn>
                              <a:cxn ang="0">
                                <a:pos x="188" y="530"/>
                              </a:cxn>
                              <a:cxn ang="0">
                                <a:pos x="47" y="265"/>
                              </a:cxn>
                              <a:cxn ang="0">
                                <a:pos x="188"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s:wsp>
                        <wps:cNvPr id="28" name="Forme libre 28"/>
                        <wps:cNvSpPr/>
                        <wps:spPr>
                          <a:xfrm rot="5400000" flipH="1">
                            <a:off x="1934" y="14858"/>
                            <a:ext cx="375" cy="530"/>
                          </a:xfrm>
                          <a:custGeom>
                            <a:avLst/>
                            <a:gdLst>
                              <a:gd name="txL" fmla="*/ 4493 w 21600"/>
                              <a:gd name="txT" fmla="*/ 4483 h 21600"/>
                              <a:gd name="txR" fmla="*/ 17107 w 21600"/>
                              <a:gd name="txB" fmla="*/ 17117 h 21600"/>
                            </a:gdLst>
                            <a:ahLst/>
                            <a:cxnLst>
                              <a:cxn ang="0">
                                <a:pos x="328" y="265"/>
                              </a:cxn>
                              <a:cxn ang="0">
                                <a:pos x="188" y="530"/>
                              </a:cxn>
                              <a:cxn ang="0">
                                <a:pos x="47" y="265"/>
                              </a:cxn>
                              <a:cxn ang="0">
                                <a:pos x="188"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g:grpSp>
                  </wpg:wgp>
                </a:graphicData>
              </a:graphic>
            </wp:anchor>
          </w:drawing>
        </mc:Choice>
        <mc:Fallback>
          <w:pict>
            <v:group id="_x0000_s1026" o:spid="_x0000_s1026" o:spt="203" style="position:absolute;left:0pt;margin-left:517.15pt;margin-top:782.25pt;height:25.35pt;width:33pt;mso-position-horizontal-relative:page;mso-position-vertical-relative:page;mso-wrap-distance-left:9pt;mso-wrap-distance-right:9pt;z-index:-251652096;mso-width-relative:page;mso-height-relative:page;" coordorigin="1731,14550" coordsize="660,507" wrapcoords="6873 -426 0 2045 0 19342 6873 20578 16691 20578 19636 19342 20225 17851 21600 17851 21600 5624 20618 5624 20618 2045 13745 -426 6873 -426" o:allowincell="f" o:gfxdata="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">
              <o:lock v:ext="edit" aspectratio="f"/>
              <v:shape id="_x0000_s1026" o:spid="_x0000_s1026" o:spt="4" type="#_x0000_t4" style="position:absolute;left:1793;top:14550;height:507;width:536;" filled="f" stroked="t" coordsize="21600,21600" o:gfxdata="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9h7mvQAA&#10;ANsAAAAPAAAAAAAAAAEAIAAAACIAAABkcnMvZG93bnJldi54bWxQSwECFAAUAAAACACHTuJAMy8F&#10;njsAAAA5AAAAEAAAAAAAAAABACAAAAAMAQAAZHJzL3NoYXBleG1sLnhtbFBLBQYAAAAABgAGAFsB&#10;AAC2AwAAAAA=&#10;">
                <v:fill on="f" focussize="0,0"/>
                <v:stroke color="#A5A5A5" joinstyle="miter"/>
                <v:imagedata o:title=""/>
                <o:lock v:ext="edit" aspectratio="f"/>
              </v:shape>
              <v:rect id="_x0000_s1026" o:spid="_x0000_s1026" o:spt="1" style="position:absolute;left:1848;top:14616;height:375;width:427;" filled="f" stroked="t" coordsize="21600,21600" o:gfxdata="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YiwBL4A&#10;AADbAAAADwAAAAAAAAABACAAAAAiAAAAZHJzL2Rvd25yZXYueG1sUEsBAhQAFAAAAAgAh07iQDMv&#10;BZ47AAAAOQAAABAAAAAAAAAAAQAgAAAADQEAAGRycy9zaGFwZXhtbC54bWxQSwUGAAAAAAYABgBb&#10;AQAAtwMAAAAA&#10;">
                <v:fill on="f" focussize="0,0"/>
                <v:stroke color="#A5A5A5" joinstyle="miter"/>
                <v:imagedata o:title=""/>
                <o:lock v:ext="edit" aspectratio="f"/>
              </v:rect>
              <v:shape id="_x0000_s1026" o:spid="_x0000_s1026" o:spt="202" type="#_x0000_t202" style="position:absolute;left:1731;top:14639;height:330;width:660;" filled="f" stroked="f" coordsize="21600,21600" o:gfxdata="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DCoi8AAAA&#10;2wAAAA8AAAAAAAAAAQAgAAAAIgAAAGRycy9kb3ducmV2LnhtbFBLAQIUABQAAAAIAIdO4kAzLwWe&#10;OwAAADkAAAAQAAAAAAAAAAEAIAAAAAsBAABkcnMvc2hhcGV4bWwueG1sUEsFBgAAAAAGAAYAWwEA&#10;ALUDAAAAAA==&#10;">
                <v:fill on="f" focussize="0,0"/>
                <v:stroke on="f"/>
                <v:imagedata o:title=""/>
                <o:lock v:ext="edit" aspectratio="f"/>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_x0000_s1026" o:spid="_x0000_s1026" o:spt="203" style="position:absolute;left:1775;top:14647;height:314;width:571;" coordorigin="1705,14935" coordsize="682,375"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shape id="_x0000_s1026" o:spid="_x0000_s1026" o:spt="100" style="position:absolute;left:1782;top:14858;height:530;width:375;rotation:-5898240f;" filled="f" stroked="t" coordsize="21600,21600" o:gfxdata="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AZovQAA&#10;ANsAAAAPAAAAAAAAAAEAIAAAACIAAABkcnMvZG93bnJldi54bWxQSwECFAAUAAAACACHTuJAMy8F&#10;njsAAAA5AAAAEAAAAAAAAAABACAAAAAMAQAAZHJzL3NoYXBleG1sLnhtbFBLBQYAAAAABgAGAFsB&#10;AAC2AwAAAAA=&#10;" path="m0,0l5400,21600,16200,21600,21600,0,0,0xe">
                  <v:path o:connectlocs="328,265;188,530;47,265;188,0" o:connectangles="0,0,0,0"/>
                  <v:fill on="f" focussize="0,0"/>
                  <v:stroke color="#A5A5A5" joinstyle="miter"/>
                  <v:imagedata o:title=""/>
                  <o:lock v:ext="edit" aspectratio="f"/>
                </v:shape>
                <v:shape id="_x0000_s1026" o:spid="_x0000_s1026" o:spt="100" style="position:absolute;left:1934;top:14858;flip:x;height:530;width:375;rotation:-5898240f;" filled="f" stroked="t" coordsize="21600,21600" o:gfxdata="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4JfYQtwAAANsAAAAP&#10;AAAAAAAAAAEAIAAAACIAAABkcnMvZG93bnJldi54bWxQSwECFAAUAAAACACHTuJAMy8FnjsAAAA5&#10;AAAAEAAAAAAAAAABACAAAAAGAQAAZHJzL3NoYXBleG1sLnhtbFBLBQYAAAAABgAGAFsBAACwAwAA&#10;AAA=&#10;" path="m0,0l5400,21600,16200,21600,21600,0,0,0xe">
                  <v:path o:connectlocs="328,265;188,530;47,265;188,0" o:connectangles="0,0,0,0"/>
                  <v:fill on="f" focussize="0,0"/>
                  <v:stroke color="#A5A5A5" joinstyle="miter"/>
                  <v:imagedata o:title=""/>
                  <o:lock v:ext="edit" aspectratio="f"/>
                </v:shape>
              </v:group>
              <w10:wrap type="tight"/>
            </v:group>
          </w:pict>
        </mc:Fallback>
      </mc:AlternateContent>
    </w:r>
  </w:p>
  <w:p>
    <w:pPr>
      <w:pStyle w:val="4"/>
      <w:tabs>
        <w:tab w:val="left" w:pos="4140"/>
      </w:tabs>
      <w:rPr>
        <w:rFonts w:ascii="Times New Roman"/>
        <w:sz w:val="18"/>
        <w:lang w:val="en-US"/>
      </w:rPr>
    </w:pPr>
    <w:r>
      <w:rPr>
        <w:rFonts w:ascii="Times New Roman"/>
        <w:sz w:val="18"/>
        <w:lang w:val="en-US"/>
      </w:rPr>
      <w:t>Health Sci. Dis: Vol 21 (</w:t>
    </w:r>
    <w:r>
      <w:rPr>
        <w:rFonts w:hint="default" w:ascii="Times New Roman"/>
        <w:sz w:val="18"/>
        <w:lang w:val="fr-FR"/>
      </w:rPr>
      <w:t>5</w:t>
    </w:r>
    <w:r>
      <w:rPr>
        <w:rFonts w:ascii="Times New Roman"/>
        <w:sz w:val="18"/>
        <w:lang w:val="en-US"/>
      </w:rPr>
      <w:t>) Ma</w:t>
    </w:r>
    <w:r>
      <w:rPr>
        <w:rFonts w:hint="default" w:ascii="Times New Roman"/>
        <w:sz w:val="18"/>
        <w:lang w:val="fr-FR"/>
      </w:rPr>
      <w:t>y</w:t>
    </w:r>
    <w:r>
      <w:rPr>
        <w:rFonts w:ascii="Times New Roman"/>
        <w:sz w:val="18"/>
        <w:lang w:val="en-US"/>
      </w:rPr>
      <w:t xml:space="preserve"> 2020</w:t>
    </w:r>
  </w:p>
  <w:p>
    <w:pPr>
      <w:pStyle w:val="4"/>
      <w:tabs>
        <w:tab w:val="left" w:pos="3008"/>
      </w:tabs>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7"/>
        <w:rFonts w:ascii="Times New Roman"/>
        <w:sz w:val="18"/>
        <w:lang w:val="en-US"/>
      </w:rPr>
      <w:t>www.hsd-fmsb.org</w:t>
    </w:r>
    <w:r>
      <w:rPr>
        <w:rStyle w:val="7"/>
        <w:rFonts w:ascii="Times New Roman"/>
        <w:sz w:val="18"/>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lang w:val="fr-FR"/>
      </w:rPr>
      <w:t>C</w:t>
    </w:r>
    <w:r>
      <w:rPr>
        <w:rFonts w:hint="default" w:ascii="Times New Roman" w:hAnsi="Times New Roman"/>
        <w:sz w:val="20"/>
      </w:rPr>
      <w:t>aractéristiques cliniques et étiologiques de l’endophtalmie</w:t>
    </w:r>
    <w:r>
      <w:rPr>
        <w:rFonts w:ascii="Times New Roman" w:hAnsi="Times New Roman"/>
        <w:sz w:val="20"/>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t/>
    </w:r>
    <w:r>
      <w:rPr>
        <w:rFonts w:hint="default" w:ascii="Times New Roman" w:hAnsi="Times New Roman"/>
        <w:sz w:val="20"/>
        <w:lang w:val="fr-FR"/>
      </w:rPr>
      <w:tab/>
      <w:t xml:space="preserve">           </w:t>
    </w:r>
    <w:r>
      <w:rPr>
        <w:rFonts w:hint="default" w:ascii="Times New Roman" w:hAnsi="Times New Roman"/>
        <w:i/>
        <w:sz w:val="20"/>
        <w:lang w:val="fr-FR"/>
      </w:rPr>
      <w:t>Koki</w:t>
    </w:r>
    <w:r>
      <w:rPr>
        <w:rFonts w:ascii="Times New Roman" w:hAnsi="Times New Roman"/>
        <w:i/>
        <w:sz w:val="20"/>
      </w:rPr>
      <w:t xml:space="preserve"> 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FB5"/>
    <w:multiLevelType w:val="multilevel"/>
    <w:tmpl w:val="014C7FB5"/>
    <w:lvl w:ilvl="0" w:tentative="0">
      <w:start w:val="1"/>
      <w:numFmt w:val="bullet"/>
      <w:lvlText w:val=""/>
      <w:lvlJc w:val="left"/>
      <w:pPr>
        <w:tabs>
          <w:tab w:val="left" w:pos="720"/>
        </w:tabs>
        <w:ind w:left="720" w:hanging="360"/>
      </w:pPr>
      <w:rPr>
        <w:rFonts w:hint="default" w:ascii="Wingdings 2" w:hAnsi="Wingdings 2"/>
      </w:rPr>
    </w:lvl>
    <w:lvl w:ilvl="1" w:tentative="0">
      <w:start w:val="1"/>
      <w:numFmt w:val="bullet"/>
      <w:lvlText w:val=""/>
      <w:lvlJc w:val="left"/>
      <w:pPr>
        <w:tabs>
          <w:tab w:val="left" w:pos="1440"/>
        </w:tabs>
        <w:ind w:left="1440" w:hanging="360"/>
      </w:pPr>
      <w:rPr>
        <w:rFonts w:hint="default" w:ascii="Wingdings 2" w:hAnsi="Wingdings 2"/>
      </w:rPr>
    </w:lvl>
    <w:lvl w:ilvl="2" w:tentative="0">
      <w:start w:val="1"/>
      <w:numFmt w:val="bullet"/>
      <w:lvlText w:val=""/>
      <w:lvlJc w:val="left"/>
      <w:pPr>
        <w:tabs>
          <w:tab w:val="left" w:pos="2160"/>
        </w:tabs>
        <w:ind w:left="2160" w:hanging="360"/>
      </w:pPr>
      <w:rPr>
        <w:rFonts w:hint="default" w:ascii="Wingdings 2" w:hAnsi="Wingdings 2"/>
      </w:rPr>
    </w:lvl>
    <w:lvl w:ilvl="3" w:tentative="0">
      <w:start w:val="1"/>
      <w:numFmt w:val="bullet"/>
      <w:lvlText w:val=""/>
      <w:lvlJc w:val="left"/>
      <w:pPr>
        <w:tabs>
          <w:tab w:val="left" w:pos="2880"/>
        </w:tabs>
        <w:ind w:left="2880" w:hanging="360"/>
      </w:pPr>
      <w:rPr>
        <w:rFonts w:hint="default" w:ascii="Wingdings 2" w:hAnsi="Wingdings 2"/>
      </w:rPr>
    </w:lvl>
    <w:lvl w:ilvl="4" w:tentative="0">
      <w:start w:val="1"/>
      <w:numFmt w:val="bullet"/>
      <w:lvlText w:val=""/>
      <w:lvlJc w:val="left"/>
      <w:pPr>
        <w:tabs>
          <w:tab w:val="left" w:pos="3600"/>
        </w:tabs>
        <w:ind w:left="3600" w:hanging="360"/>
      </w:pPr>
      <w:rPr>
        <w:rFonts w:hint="default" w:ascii="Wingdings 2" w:hAnsi="Wingdings 2"/>
      </w:rPr>
    </w:lvl>
    <w:lvl w:ilvl="5" w:tentative="0">
      <w:start w:val="1"/>
      <w:numFmt w:val="bullet"/>
      <w:lvlText w:val=""/>
      <w:lvlJc w:val="left"/>
      <w:pPr>
        <w:tabs>
          <w:tab w:val="left" w:pos="4320"/>
        </w:tabs>
        <w:ind w:left="4320" w:hanging="360"/>
      </w:pPr>
      <w:rPr>
        <w:rFonts w:hint="default" w:ascii="Wingdings 2" w:hAnsi="Wingdings 2"/>
      </w:rPr>
    </w:lvl>
    <w:lvl w:ilvl="6" w:tentative="0">
      <w:start w:val="1"/>
      <w:numFmt w:val="bullet"/>
      <w:lvlText w:val=""/>
      <w:lvlJc w:val="left"/>
      <w:pPr>
        <w:tabs>
          <w:tab w:val="left" w:pos="5040"/>
        </w:tabs>
        <w:ind w:left="5040" w:hanging="360"/>
      </w:pPr>
      <w:rPr>
        <w:rFonts w:hint="default" w:ascii="Wingdings 2" w:hAnsi="Wingdings 2"/>
      </w:rPr>
    </w:lvl>
    <w:lvl w:ilvl="7" w:tentative="0">
      <w:start w:val="1"/>
      <w:numFmt w:val="bullet"/>
      <w:lvlText w:val=""/>
      <w:lvlJc w:val="left"/>
      <w:pPr>
        <w:tabs>
          <w:tab w:val="left" w:pos="5760"/>
        </w:tabs>
        <w:ind w:left="5760" w:hanging="360"/>
      </w:pPr>
      <w:rPr>
        <w:rFonts w:hint="default" w:ascii="Wingdings 2" w:hAnsi="Wingdings 2"/>
      </w:rPr>
    </w:lvl>
    <w:lvl w:ilvl="8" w:tentative="0">
      <w:start w:val="1"/>
      <w:numFmt w:val="bullet"/>
      <w:lvlText w:val=""/>
      <w:lvlJc w:val="left"/>
      <w:pPr>
        <w:tabs>
          <w:tab w:val="left" w:pos="6480"/>
        </w:tabs>
        <w:ind w:left="6480" w:hanging="360"/>
      </w:pPr>
      <w:rPr>
        <w:rFonts w:hint="default" w:ascii="Wingdings 2" w:hAnsi="Wingdings 2"/>
      </w:rPr>
    </w:lvl>
  </w:abstractNum>
  <w:abstractNum w:abstractNumId="1">
    <w:nsid w:val="079D320A"/>
    <w:multiLevelType w:val="multilevel"/>
    <w:tmpl w:val="079D320A"/>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B456F28"/>
    <w:multiLevelType w:val="multilevel"/>
    <w:tmpl w:val="1B456F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1D638A3"/>
    <w:multiLevelType w:val="multilevel"/>
    <w:tmpl w:val="21D638A3"/>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8FFE83F"/>
    <w:multiLevelType w:val="singleLevel"/>
    <w:tmpl w:val="38FFE83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hyphenationZone w:val="425"/>
  <w:characterSpacingControl w:val="doNotCompress"/>
  <w:hdrShapeDefaults>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ED"/>
    <w:rsid w:val="00000031"/>
    <w:rsid w:val="0001531B"/>
    <w:rsid w:val="0002007D"/>
    <w:rsid w:val="0004749E"/>
    <w:rsid w:val="00055CCC"/>
    <w:rsid w:val="00080ACE"/>
    <w:rsid w:val="000A48C1"/>
    <w:rsid w:val="000A60FA"/>
    <w:rsid w:val="000B1173"/>
    <w:rsid w:val="000C0AB3"/>
    <w:rsid w:val="000D3FE9"/>
    <w:rsid w:val="000E372A"/>
    <w:rsid w:val="000F237D"/>
    <w:rsid w:val="001075EE"/>
    <w:rsid w:val="00117E69"/>
    <w:rsid w:val="00125F3F"/>
    <w:rsid w:val="001266C0"/>
    <w:rsid w:val="001315FE"/>
    <w:rsid w:val="00132DD4"/>
    <w:rsid w:val="001376B7"/>
    <w:rsid w:val="00144B18"/>
    <w:rsid w:val="00144EEE"/>
    <w:rsid w:val="00145532"/>
    <w:rsid w:val="00145EDB"/>
    <w:rsid w:val="001462EE"/>
    <w:rsid w:val="00157F21"/>
    <w:rsid w:val="00167CC2"/>
    <w:rsid w:val="00172344"/>
    <w:rsid w:val="00180174"/>
    <w:rsid w:val="00184895"/>
    <w:rsid w:val="00185686"/>
    <w:rsid w:val="001A011D"/>
    <w:rsid w:val="001B1E25"/>
    <w:rsid w:val="001B6899"/>
    <w:rsid w:val="001D14E1"/>
    <w:rsid w:val="001E2CC8"/>
    <w:rsid w:val="001E3989"/>
    <w:rsid w:val="001E3B10"/>
    <w:rsid w:val="001E4FA2"/>
    <w:rsid w:val="001E535C"/>
    <w:rsid w:val="0021344A"/>
    <w:rsid w:val="00224993"/>
    <w:rsid w:val="00226FB2"/>
    <w:rsid w:val="00237668"/>
    <w:rsid w:val="002577E2"/>
    <w:rsid w:val="00257C23"/>
    <w:rsid w:val="0026422E"/>
    <w:rsid w:val="00270272"/>
    <w:rsid w:val="00275B97"/>
    <w:rsid w:val="00282C29"/>
    <w:rsid w:val="0028527C"/>
    <w:rsid w:val="0028593C"/>
    <w:rsid w:val="002A3656"/>
    <w:rsid w:val="002B0038"/>
    <w:rsid w:val="002B1694"/>
    <w:rsid w:val="002B42F9"/>
    <w:rsid w:val="002D346A"/>
    <w:rsid w:val="002D64E0"/>
    <w:rsid w:val="002F1EFD"/>
    <w:rsid w:val="00300CA5"/>
    <w:rsid w:val="00316B17"/>
    <w:rsid w:val="0032230A"/>
    <w:rsid w:val="003239C8"/>
    <w:rsid w:val="00326E10"/>
    <w:rsid w:val="00326FBD"/>
    <w:rsid w:val="003340A7"/>
    <w:rsid w:val="00341A6E"/>
    <w:rsid w:val="00370C74"/>
    <w:rsid w:val="0037289E"/>
    <w:rsid w:val="00381595"/>
    <w:rsid w:val="003823DF"/>
    <w:rsid w:val="0038578E"/>
    <w:rsid w:val="003A3AC2"/>
    <w:rsid w:val="003A534A"/>
    <w:rsid w:val="003C37F3"/>
    <w:rsid w:val="003D1029"/>
    <w:rsid w:val="003E4D39"/>
    <w:rsid w:val="00401AC9"/>
    <w:rsid w:val="00404551"/>
    <w:rsid w:val="00410F86"/>
    <w:rsid w:val="00416374"/>
    <w:rsid w:val="00437FD9"/>
    <w:rsid w:val="00444770"/>
    <w:rsid w:val="00460D9F"/>
    <w:rsid w:val="004650B5"/>
    <w:rsid w:val="00470523"/>
    <w:rsid w:val="00472651"/>
    <w:rsid w:val="004760D9"/>
    <w:rsid w:val="0049032F"/>
    <w:rsid w:val="00492C6F"/>
    <w:rsid w:val="00492E26"/>
    <w:rsid w:val="00493792"/>
    <w:rsid w:val="004C7B45"/>
    <w:rsid w:val="004D232A"/>
    <w:rsid w:val="004D3BFF"/>
    <w:rsid w:val="004D64C7"/>
    <w:rsid w:val="004F4AF5"/>
    <w:rsid w:val="004F7A16"/>
    <w:rsid w:val="0050054D"/>
    <w:rsid w:val="0051393D"/>
    <w:rsid w:val="0051407E"/>
    <w:rsid w:val="00516E90"/>
    <w:rsid w:val="00520837"/>
    <w:rsid w:val="00534E58"/>
    <w:rsid w:val="00556201"/>
    <w:rsid w:val="00557E2F"/>
    <w:rsid w:val="005849BD"/>
    <w:rsid w:val="00592080"/>
    <w:rsid w:val="005A1700"/>
    <w:rsid w:val="005A7698"/>
    <w:rsid w:val="005B3A2D"/>
    <w:rsid w:val="005C3385"/>
    <w:rsid w:val="005D1627"/>
    <w:rsid w:val="005F5FB9"/>
    <w:rsid w:val="00602084"/>
    <w:rsid w:val="006020EB"/>
    <w:rsid w:val="006147D6"/>
    <w:rsid w:val="00620736"/>
    <w:rsid w:val="0062246A"/>
    <w:rsid w:val="00626BC1"/>
    <w:rsid w:val="0063227B"/>
    <w:rsid w:val="0064407B"/>
    <w:rsid w:val="00644B22"/>
    <w:rsid w:val="00645713"/>
    <w:rsid w:val="006479BD"/>
    <w:rsid w:val="00647E7A"/>
    <w:rsid w:val="00656AD8"/>
    <w:rsid w:val="00664006"/>
    <w:rsid w:val="00675D08"/>
    <w:rsid w:val="00676EAE"/>
    <w:rsid w:val="00677E8A"/>
    <w:rsid w:val="0068047B"/>
    <w:rsid w:val="00685726"/>
    <w:rsid w:val="006B499E"/>
    <w:rsid w:val="006C3257"/>
    <w:rsid w:val="006E441F"/>
    <w:rsid w:val="006F4315"/>
    <w:rsid w:val="006F51A2"/>
    <w:rsid w:val="00700C34"/>
    <w:rsid w:val="00712A32"/>
    <w:rsid w:val="007131D3"/>
    <w:rsid w:val="0073135D"/>
    <w:rsid w:val="00744B8D"/>
    <w:rsid w:val="00745EC0"/>
    <w:rsid w:val="00746FF7"/>
    <w:rsid w:val="0074797C"/>
    <w:rsid w:val="00753F8F"/>
    <w:rsid w:val="00775859"/>
    <w:rsid w:val="00777A1A"/>
    <w:rsid w:val="00787E70"/>
    <w:rsid w:val="007907B8"/>
    <w:rsid w:val="007A30F6"/>
    <w:rsid w:val="007B638F"/>
    <w:rsid w:val="007B6946"/>
    <w:rsid w:val="007C1C87"/>
    <w:rsid w:val="007C412C"/>
    <w:rsid w:val="007D5008"/>
    <w:rsid w:val="007E1AFF"/>
    <w:rsid w:val="007E418A"/>
    <w:rsid w:val="007F1DDA"/>
    <w:rsid w:val="00810A1C"/>
    <w:rsid w:val="008120DE"/>
    <w:rsid w:val="00814722"/>
    <w:rsid w:val="00815CD4"/>
    <w:rsid w:val="00816F17"/>
    <w:rsid w:val="0083277F"/>
    <w:rsid w:val="00851CA7"/>
    <w:rsid w:val="00852AAC"/>
    <w:rsid w:val="00856EA2"/>
    <w:rsid w:val="008804BB"/>
    <w:rsid w:val="008878DC"/>
    <w:rsid w:val="00896A58"/>
    <w:rsid w:val="0089749D"/>
    <w:rsid w:val="00897A59"/>
    <w:rsid w:val="008A298D"/>
    <w:rsid w:val="008B6275"/>
    <w:rsid w:val="008B763F"/>
    <w:rsid w:val="008C5AAD"/>
    <w:rsid w:val="008D73E5"/>
    <w:rsid w:val="008E184B"/>
    <w:rsid w:val="0090361B"/>
    <w:rsid w:val="00952948"/>
    <w:rsid w:val="00961049"/>
    <w:rsid w:val="009621AF"/>
    <w:rsid w:val="00966F9A"/>
    <w:rsid w:val="00974F45"/>
    <w:rsid w:val="00975BC6"/>
    <w:rsid w:val="009808E6"/>
    <w:rsid w:val="009965A3"/>
    <w:rsid w:val="009A1B00"/>
    <w:rsid w:val="009C0B07"/>
    <w:rsid w:val="009C389F"/>
    <w:rsid w:val="009C7242"/>
    <w:rsid w:val="009D1139"/>
    <w:rsid w:val="009D15D6"/>
    <w:rsid w:val="009E147C"/>
    <w:rsid w:val="009E7A9C"/>
    <w:rsid w:val="009F30B1"/>
    <w:rsid w:val="00A00938"/>
    <w:rsid w:val="00A14F28"/>
    <w:rsid w:val="00A15B13"/>
    <w:rsid w:val="00A17E96"/>
    <w:rsid w:val="00A35EE8"/>
    <w:rsid w:val="00A45ADE"/>
    <w:rsid w:val="00A56685"/>
    <w:rsid w:val="00A649C6"/>
    <w:rsid w:val="00A73F3D"/>
    <w:rsid w:val="00A8558D"/>
    <w:rsid w:val="00AA18F9"/>
    <w:rsid w:val="00AB5FE3"/>
    <w:rsid w:val="00AC066C"/>
    <w:rsid w:val="00AC075E"/>
    <w:rsid w:val="00AC485E"/>
    <w:rsid w:val="00AC4FC1"/>
    <w:rsid w:val="00AD533B"/>
    <w:rsid w:val="00AE1732"/>
    <w:rsid w:val="00AF07B8"/>
    <w:rsid w:val="00AF637C"/>
    <w:rsid w:val="00AF6905"/>
    <w:rsid w:val="00AF7124"/>
    <w:rsid w:val="00B01849"/>
    <w:rsid w:val="00B108B6"/>
    <w:rsid w:val="00B1180C"/>
    <w:rsid w:val="00B41D83"/>
    <w:rsid w:val="00B43964"/>
    <w:rsid w:val="00B55666"/>
    <w:rsid w:val="00B56876"/>
    <w:rsid w:val="00B71FED"/>
    <w:rsid w:val="00B747ED"/>
    <w:rsid w:val="00B81527"/>
    <w:rsid w:val="00BA4B87"/>
    <w:rsid w:val="00BA55D7"/>
    <w:rsid w:val="00BB232F"/>
    <w:rsid w:val="00BC03C9"/>
    <w:rsid w:val="00BD2FDD"/>
    <w:rsid w:val="00BD40F1"/>
    <w:rsid w:val="00BE2183"/>
    <w:rsid w:val="00BF0004"/>
    <w:rsid w:val="00C0478D"/>
    <w:rsid w:val="00C241D1"/>
    <w:rsid w:val="00C327D1"/>
    <w:rsid w:val="00C42799"/>
    <w:rsid w:val="00C57A61"/>
    <w:rsid w:val="00C64771"/>
    <w:rsid w:val="00C64DB7"/>
    <w:rsid w:val="00C6500E"/>
    <w:rsid w:val="00C7272D"/>
    <w:rsid w:val="00C9043A"/>
    <w:rsid w:val="00C925DE"/>
    <w:rsid w:val="00C953B4"/>
    <w:rsid w:val="00CD1EDA"/>
    <w:rsid w:val="00CE4544"/>
    <w:rsid w:val="00CF1D4A"/>
    <w:rsid w:val="00CF2EA3"/>
    <w:rsid w:val="00CF3652"/>
    <w:rsid w:val="00D23EFA"/>
    <w:rsid w:val="00D25837"/>
    <w:rsid w:val="00D34938"/>
    <w:rsid w:val="00D55905"/>
    <w:rsid w:val="00D63283"/>
    <w:rsid w:val="00D756CB"/>
    <w:rsid w:val="00D77A55"/>
    <w:rsid w:val="00D96A8A"/>
    <w:rsid w:val="00D975ED"/>
    <w:rsid w:val="00DA1313"/>
    <w:rsid w:val="00DA6EE6"/>
    <w:rsid w:val="00DC3659"/>
    <w:rsid w:val="00DC5CDA"/>
    <w:rsid w:val="00DD31E3"/>
    <w:rsid w:val="00DD75E6"/>
    <w:rsid w:val="00DE2F5F"/>
    <w:rsid w:val="00DF711C"/>
    <w:rsid w:val="00DF7732"/>
    <w:rsid w:val="00E025A6"/>
    <w:rsid w:val="00E07FC9"/>
    <w:rsid w:val="00E207BA"/>
    <w:rsid w:val="00E24E71"/>
    <w:rsid w:val="00E32734"/>
    <w:rsid w:val="00E373A0"/>
    <w:rsid w:val="00E726D0"/>
    <w:rsid w:val="00E729C1"/>
    <w:rsid w:val="00E80366"/>
    <w:rsid w:val="00E81C45"/>
    <w:rsid w:val="00E82B57"/>
    <w:rsid w:val="00E8587C"/>
    <w:rsid w:val="00E956AC"/>
    <w:rsid w:val="00E95C60"/>
    <w:rsid w:val="00EA0737"/>
    <w:rsid w:val="00EA4436"/>
    <w:rsid w:val="00EA5D33"/>
    <w:rsid w:val="00EB39AA"/>
    <w:rsid w:val="00EC7B75"/>
    <w:rsid w:val="00ED64ED"/>
    <w:rsid w:val="00EE63EB"/>
    <w:rsid w:val="00EF6E50"/>
    <w:rsid w:val="00EF6EAD"/>
    <w:rsid w:val="00F00F1E"/>
    <w:rsid w:val="00F06AAE"/>
    <w:rsid w:val="00F15928"/>
    <w:rsid w:val="00F27E36"/>
    <w:rsid w:val="00F35515"/>
    <w:rsid w:val="00F3680E"/>
    <w:rsid w:val="00F45DC0"/>
    <w:rsid w:val="00F47D23"/>
    <w:rsid w:val="00F514F0"/>
    <w:rsid w:val="00F62A49"/>
    <w:rsid w:val="00F75916"/>
    <w:rsid w:val="00F7734D"/>
    <w:rsid w:val="00F77D9A"/>
    <w:rsid w:val="00F82A99"/>
    <w:rsid w:val="00F86110"/>
    <w:rsid w:val="00FB0C5E"/>
    <w:rsid w:val="00FB3644"/>
    <w:rsid w:val="00FB598F"/>
    <w:rsid w:val="00FC08F1"/>
    <w:rsid w:val="00FC0B62"/>
    <w:rsid w:val="00FD1C75"/>
    <w:rsid w:val="00FD7C86"/>
    <w:rsid w:val="00FE2A1E"/>
    <w:rsid w:val="00FE748A"/>
    <w:rsid w:val="01F174CE"/>
    <w:rsid w:val="07E604D2"/>
    <w:rsid w:val="08BE5245"/>
    <w:rsid w:val="0AF31DC0"/>
    <w:rsid w:val="0C896784"/>
    <w:rsid w:val="0DFB7B4D"/>
    <w:rsid w:val="0E06104F"/>
    <w:rsid w:val="20475B76"/>
    <w:rsid w:val="253D76E7"/>
    <w:rsid w:val="2C4E5E91"/>
    <w:rsid w:val="2D0C2CDD"/>
    <w:rsid w:val="31BC1BF2"/>
    <w:rsid w:val="3FB22B3A"/>
    <w:rsid w:val="4EB238B3"/>
    <w:rsid w:val="4F7717FF"/>
    <w:rsid w:val="6BD302C8"/>
    <w:rsid w:val="746F4830"/>
    <w:rsid w:val="763D7A0B"/>
    <w:rsid w:val="76A32957"/>
    <w:rsid w:val="7891407E"/>
    <w:rsid w:val="78922A83"/>
    <w:rsid w:val="789E205C"/>
    <w:rsid w:val="7A286C44"/>
    <w:rsid w:val="7DF83B3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sdException w:qFormat="1" w:unhideWhenUsed="0" w:uiPriority="39" w:semiHidden="0" w:name="Table Grid"/>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HTML Preformatted"/>
    <w:basedOn w:val="1"/>
    <w:link w:val="15"/>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fr-FR"/>
    </w:rPr>
  </w:style>
  <w:style w:type="paragraph" w:styleId="3">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4">
    <w:name w:val="footer"/>
    <w:basedOn w:val="1"/>
    <w:link w:val="14"/>
    <w:unhideWhenUsed/>
    <w:qFormat/>
    <w:uiPriority w:val="99"/>
    <w:pPr>
      <w:tabs>
        <w:tab w:val="center" w:pos="4536"/>
        <w:tab w:val="right" w:pos="9072"/>
      </w:tabs>
      <w:spacing w:after="0" w:line="240" w:lineRule="auto"/>
    </w:pPr>
  </w:style>
  <w:style w:type="paragraph" w:styleId="5">
    <w:name w:val="header"/>
    <w:basedOn w:val="1"/>
    <w:link w:val="13"/>
    <w:unhideWhenUsed/>
    <w:qFormat/>
    <w:uiPriority w:val="99"/>
    <w:pPr>
      <w:tabs>
        <w:tab w:val="center" w:pos="4536"/>
        <w:tab w:val="right" w:pos="9072"/>
      </w:tabs>
      <w:spacing w:after="0" w:line="240" w:lineRule="auto"/>
    </w:pPr>
  </w:style>
  <w:style w:type="character" w:styleId="7">
    <w:name w:val="Hyperlink"/>
    <w:unhideWhenUsed/>
    <w:qFormat/>
    <w:uiPriority w:val="99"/>
    <w:rPr>
      <w:color w:val="0000FF"/>
      <w:u w:val="single"/>
    </w:rPr>
  </w:style>
  <w:style w:type="character" w:styleId="8">
    <w:name w:val="Strong"/>
    <w:basedOn w:val="6"/>
    <w:qFormat/>
    <w:uiPriority w:val="22"/>
    <w:rPr>
      <w:b/>
      <w:bCs/>
    </w:rPr>
  </w:style>
  <w:style w:type="paragraph" w:styleId="10">
    <w:name w:val="List Paragraph"/>
    <w:basedOn w:val="1"/>
    <w:qFormat/>
    <w:uiPriority w:val="34"/>
    <w:pPr>
      <w:ind w:left="720"/>
      <w:contextualSpacing/>
    </w:pPr>
  </w:style>
  <w:style w:type="table" w:styleId="11">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2">
    <w:name w:val="List Table 1 Light Accent 1"/>
    <w:basedOn w:val="9"/>
    <w:uiPriority w:val="46"/>
    <w:pPr>
      <w:spacing w:after="0" w:line="240" w:lineRule="auto"/>
    </w:pPr>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character" w:customStyle="1" w:styleId="13">
    <w:name w:val="En-tête Car"/>
    <w:basedOn w:val="6"/>
    <w:link w:val="5"/>
    <w:qFormat/>
    <w:uiPriority w:val="99"/>
  </w:style>
  <w:style w:type="character" w:customStyle="1" w:styleId="14">
    <w:name w:val="Pied de page Car"/>
    <w:basedOn w:val="6"/>
    <w:link w:val="4"/>
    <w:qFormat/>
    <w:uiPriority w:val="99"/>
  </w:style>
  <w:style w:type="character" w:customStyle="1" w:styleId="15">
    <w:name w:val="Préformaté HTML Car"/>
    <w:basedOn w:val="6"/>
    <w:link w:val="2"/>
    <w:uiPriority w:val="99"/>
    <w:rPr>
      <w:rFonts w:ascii="Courier New" w:hAnsi="Courier New" w:eastAsia="Times New Roman" w:cs="Courier New"/>
      <w:sz w:val="20"/>
      <w:szCs w:val="20"/>
      <w:lang w:eastAsia="fr-F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17434B-2730-4101-904C-7F5BE15A8A61}">
  <ds:schemaRefs/>
</ds:datastoreItem>
</file>

<file path=docProps/app.xml><?xml version="1.0" encoding="utf-8"?>
<Properties xmlns="http://schemas.openxmlformats.org/officeDocument/2006/extended-properties" xmlns:vt="http://schemas.openxmlformats.org/officeDocument/2006/docPropsVTypes">
  <Template>Normal</Template>
  <Pages>12</Pages>
  <Words>3850</Words>
  <Characters>21180</Characters>
  <Lines>176</Lines>
  <Paragraphs>49</Paragraphs>
  <TotalTime>50</TotalTime>
  <ScaleCrop>false</ScaleCrop>
  <LinksUpToDate>false</LinksUpToDate>
  <CharactersWithSpaces>24981</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2019-04-26T13:50:00Z</dcterms:created>
  <dc:creator>Dr NOMO</dc:creator>
  <cp:lastModifiedBy>user</cp:lastModifiedBy>
  <dcterms:modified xsi:type="dcterms:W3CDTF">2020-04-05T14:55:28Z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